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19" w:rsidRPr="00DE4CE0" w:rsidRDefault="00680319" w:rsidP="00E46E5D">
      <w:pPr>
        <w:pStyle w:val="Title"/>
      </w:pPr>
      <w:r w:rsidRPr="00DE4CE0">
        <w:t>Toronto District School Board</w:t>
      </w:r>
    </w:p>
    <w:p w:rsidR="00680319" w:rsidRPr="00DE4CE0" w:rsidRDefault="00680319" w:rsidP="00E46E5D">
      <w:r w:rsidRPr="00DE4CE0">
        <w:rPr>
          <w:noProof/>
          <w:lang w:eastAsia="en-CA"/>
        </w:rPr>
        <mc:AlternateContent>
          <mc:Choice Requires="wps">
            <w:drawing>
              <wp:anchor distT="0" distB="0" distL="114300" distR="114300" simplePos="0" relativeHeight="251659264" behindDoc="0" locked="0" layoutInCell="0" allowOverlap="1" wp14:anchorId="4D60D266" wp14:editId="167475BD">
                <wp:simplePos x="0" y="0"/>
                <wp:positionH relativeFrom="column">
                  <wp:align>center</wp:align>
                </wp:positionH>
                <wp:positionV relativeFrom="paragraph">
                  <wp:posOffset>133350</wp:posOffset>
                </wp:positionV>
                <wp:extent cx="59436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L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" o:allowincell="f"/>
            </w:pict>
          </mc:Fallback>
        </mc:AlternateContent>
      </w:r>
    </w:p>
    <w:p w:rsidR="00680319" w:rsidRPr="00DE4CE0" w:rsidRDefault="00B16778" w:rsidP="00E5408E">
      <w:pPr>
        <w:jc w:val="right"/>
      </w:pPr>
      <w:r>
        <w:t>Policy P033</w:t>
      </w:r>
    </w:p>
    <w:p w:rsidR="00680319" w:rsidRPr="00DE4CE0" w:rsidRDefault="00680319" w:rsidP="00E46E5D"/>
    <w:p w:rsidR="00680319" w:rsidRPr="00DE4CE0" w:rsidRDefault="00680319" w:rsidP="00845A9F">
      <w:pPr>
        <w:ind w:left="2340" w:hanging="1800"/>
      </w:pPr>
      <w:r w:rsidRPr="00DE4CE0">
        <w:t>Title:</w:t>
      </w:r>
      <w:r w:rsidRPr="00DE4CE0">
        <w:tab/>
      </w:r>
      <w:r w:rsidR="006E3DA1">
        <w:rPr>
          <w:b/>
        </w:rPr>
        <w:t>EXCURSIONS</w:t>
      </w:r>
    </w:p>
    <w:p w:rsidR="00680319" w:rsidRPr="00DE4CE0" w:rsidRDefault="00680319" w:rsidP="00845A9F">
      <w:pPr>
        <w:ind w:left="2340" w:hanging="1800"/>
      </w:pPr>
    </w:p>
    <w:p w:rsidR="00680319" w:rsidRPr="00DE4CE0" w:rsidRDefault="00680319" w:rsidP="00845A9F">
      <w:pPr>
        <w:ind w:left="2340" w:hanging="1800"/>
      </w:pPr>
      <w:r w:rsidRPr="00DE4CE0">
        <w:t>Adopted:</w:t>
      </w:r>
      <w:r w:rsidRPr="00DE4CE0">
        <w:tab/>
      </w:r>
      <w:r w:rsidR="001A7867">
        <w:t>June 26, 2003</w:t>
      </w:r>
    </w:p>
    <w:p w:rsidR="00680319" w:rsidRPr="00DE4CE0" w:rsidRDefault="00680319" w:rsidP="00845A9F">
      <w:pPr>
        <w:ind w:left="2340" w:hanging="1800"/>
      </w:pPr>
      <w:r w:rsidRPr="00DE4CE0">
        <w:t>Effected:</w:t>
      </w:r>
      <w:r w:rsidRPr="00DE4CE0">
        <w:tab/>
      </w:r>
      <w:r w:rsidR="001A7867">
        <w:t>June 26, 2003</w:t>
      </w:r>
    </w:p>
    <w:p w:rsidR="00680319" w:rsidRPr="00DE4CE0" w:rsidRDefault="00680319" w:rsidP="00845A9F">
      <w:pPr>
        <w:ind w:left="2340" w:hanging="1800"/>
      </w:pPr>
      <w:r w:rsidRPr="00DE4CE0">
        <w:t>Revised:</w:t>
      </w:r>
      <w:r w:rsidRPr="00DE4CE0">
        <w:tab/>
      </w:r>
      <w:r w:rsidR="001A7867">
        <w:t>March 2013; [Insert New Date Here]</w:t>
      </w:r>
    </w:p>
    <w:p w:rsidR="00680319" w:rsidRPr="00DE4CE0" w:rsidRDefault="00680319" w:rsidP="00845A9F">
      <w:pPr>
        <w:ind w:left="2340" w:hanging="1800"/>
      </w:pPr>
      <w:r w:rsidRPr="00DE4CE0">
        <w:t>Reviewed:</w:t>
      </w:r>
      <w:r w:rsidRPr="00DE4CE0">
        <w:tab/>
      </w:r>
      <w:r w:rsidR="001A7867">
        <w:t>March 2013; [Insert New Date Here]</w:t>
      </w:r>
    </w:p>
    <w:p w:rsidR="00680319" w:rsidRPr="00DE4CE0" w:rsidRDefault="001A7867" w:rsidP="00845A9F">
      <w:pPr>
        <w:ind w:left="2340" w:hanging="1800"/>
      </w:pPr>
      <w:r>
        <w:t>Authorization:</w:t>
      </w:r>
      <w:r>
        <w:tab/>
        <w:t>Board of Trustees</w:t>
      </w:r>
    </w:p>
    <w:p w:rsidR="00680319" w:rsidRPr="00DE4CE0" w:rsidRDefault="00680319" w:rsidP="00E46E5D">
      <w:r w:rsidRPr="00DE4CE0">
        <w:rPr>
          <w:noProof/>
          <w:lang w:eastAsia="en-CA"/>
        </w:rPr>
        <mc:AlternateContent>
          <mc:Choice Requires="wps">
            <w:drawing>
              <wp:anchor distT="0" distB="0" distL="114300" distR="114300" simplePos="0" relativeHeight="251660288" behindDoc="0" locked="0" layoutInCell="0" allowOverlap="1" wp14:anchorId="0CD58F9B" wp14:editId="77F2ECC5">
                <wp:simplePos x="0" y="0"/>
                <wp:positionH relativeFrom="column">
                  <wp:align>center</wp:align>
                </wp:positionH>
                <wp:positionV relativeFrom="paragraph">
                  <wp:posOffset>229870</wp:posOffset>
                </wp:positionV>
                <wp:extent cx="5943600" cy="0"/>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" o:allowincell="f"/>
            </w:pict>
          </mc:Fallback>
        </mc:AlternateContent>
      </w:r>
    </w:p>
    <w:p w:rsidR="00680319" w:rsidRPr="00DE4CE0" w:rsidRDefault="00680319" w:rsidP="00E46E5D"/>
    <w:p w:rsidR="00680319" w:rsidRDefault="00F436C4" w:rsidP="00B93727">
      <w:pPr>
        <w:pStyle w:val="Heading1"/>
        <w:numPr>
          <w:ilvl w:val="0"/>
          <w:numId w:val="3"/>
        </w:numPr>
        <w:tabs>
          <w:tab w:val="left" w:pos="630"/>
        </w:tabs>
      </w:pPr>
      <w:r w:rsidRPr="00DE4CE0">
        <w:t>RATIONALE</w:t>
      </w:r>
    </w:p>
    <w:p w:rsidR="00C7068E" w:rsidRDefault="00C7068E" w:rsidP="00C7068E">
      <w:pPr>
        <w:pStyle w:val="ListParagraph"/>
        <w:ind w:left="576"/>
      </w:pPr>
      <w:r>
        <w:t xml:space="preserve">The Excursions Policy (the “Policy”) outlines the requirements for organization and execution of out-of-school excursions and field trips within the Toronto District School Board (TDSB) system. </w:t>
      </w:r>
    </w:p>
    <w:p w:rsidR="00C7068E" w:rsidRDefault="00C7068E" w:rsidP="00C7068E">
      <w:pPr>
        <w:pStyle w:val="ListParagraph"/>
        <w:ind w:left="576"/>
      </w:pPr>
    </w:p>
    <w:p w:rsidR="00C7068E" w:rsidRDefault="00C7068E" w:rsidP="00C7068E">
      <w:pPr>
        <w:pStyle w:val="ListParagraph"/>
        <w:ind w:left="576"/>
      </w:pPr>
      <w:r>
        <w:t xml:space="preserve">The Policy operates within Section 171 of the </w:t>
      </w:r>
      <w:r w:rsidRPr="00C8210C">
        <w:rPr>
          <w:i/>
        </w:rPr>
        <w:t>Education Act</w:t>
      </w:r>
      <w:r>
        <w:t xml:space="preserve"> which outlines school boards’ authority to provide field trips, activities, and programs outside of the school premises, including the ability to exercise jurisdiction over those who participate. In addition to the governing legislation, the TDSB’s Mission, Values and Goals Policy (P002), Student Health Support Policy (P092), Caring and Safe Schools Policy (P051), and Equity Policy (P037) are foundational when implementing this Policy.</w:t>
      </w:r>
    </w:p>
    <w:p w:rsidR="00680319" w:rsidRPr="00DE4CE0" w:rsidRDefault="00680319" w:rsidP="00B93727">
      <w:pPr>
        <w:pStyle w:val="Heading1"/>
        <w:numPr>
          <w:ilvl w:val="0"/>
          <w:numId w:val="3"/>
        </w:numPr>
        <w:tabs>
          <w:tab w:val="left" w:pos="540"/>
        </w:tabs>
      </w:pPr>
      <w:r w:rsidRPr="00DE4CE0">
        <w:t>OBJECTIVE</w:t>
      </w:r>
    </w:p>
    <w:p w:rsidR="00B16778" w:rsidRPr="00B16778" w:rsidRDefault="00B16778" w:rsidP="00B16778">
      <w:r w:rsidRPr="00B16778">
        <w:t xml:space="preserve">To establish the Board’s commitment to and a basis for the full and equitable inclusion of all students in curriculum-based excursions </w:t>
      </w:r>
      <w:r>
        <w:t xml:space="preserve">while </w:t>
      </w:r>
      <w:r w:rsidRPr="00B16778">
        <w:t>ensuring that all barriers to access are removed and that safety, accountability and transparency are paramount</w:t>
      </w:r>
      <w:r>
        <w:t>.</w:t>
      </w:r>
    </w:p>
    <w:p w:rsidR="00680319" w:rsidRPr="00DE4CE0" w:rsidRDefault="00680319" w:rsidP="00B93727">
      <w:pPr>
        <w:pStyle w:val="Heading1"/>
        <w:numPr>
          <w:ilvl w:val="0"/>
          <w:numId w:val="3"/>
        </w:numPr>
        <w:tabs>
          <w:tab w:val="left" w:pos="540"/>
        </w:tabs>
      </w:pPr>
      <w:r w:rsidRPr="00DE4CE0">
        <w:t>DEFINITIONS</w:t>
      </w:r>
    </w:p>
    <w:p w:rsidR="00136985" w:rsidRDefault="00136985" w:rsidP="00E46E5D">
      <w:pPr>
        <w:rPr>
          <w:i/>
          <w:iCs/>
        </w:rPr>
      </w:pPr>
      <w:r w:rsidRPr="00136985">
        <w:rPr>
          <w:i/>
          <w:iCs/>
        </w:rPr>
        <w:t xml:space="preserve">Board </w:t>
      </w:r>
      <w:r w:rsidRPr="00E47E44">
        <w:rPr>
          <w:iCs/>
        </w:rPr>
        <w:t>refers to the Toronto District School Board, which is also referred to as “TDSB”.</w:t>
      </w:r>
    </w:p>
    <w:p w:rsidR="00680319" w:rsidRPr="00DE4CE0" w:rsidRDefault="00680319" w:rsidP="00E46E5D"/>
    <w:p w:rsidR="00965B26" w:rsidRPr="00965B26" w:rsidRDefault="00965B26" w:rsidP="00136985">
      <w:pPr>
        <w:rPr>
          <w:iCs/>
        </w:rPr>
      </w:pPr>
      <w:r>
        <w:rPr>
          <w:i/>
          <w:iCs/>
        </w:rPr>
        <w:t xml:space="preserve">Equitable Inclusion </w:t>
      </w:r>
      <w:r w:rsidRPr="00965B26">
        <w:rPr>
          <w:iCs/>
        </w:rPr>
        <w:t>r</w:t>
      </w:r>
      <w:r>
        <w:rPr>
          <w:iCs/>
        </w:rPr>
        <w:t>efers to the TDSB Equity Policy (P</w:t>
      </w:r>
      <w:r w:rsidRPr="00965B26">
        <w:rPr>
          <w:iCs/>
        </w:rPr>
        <w:t>037).  Excursions shall be appropriate to the cultural backgrounds and myriad experiences of all students and should proactively reflect these different ways of knowing and being.  Excursions mus</w:t>
      </w:r>
      <w:r>
        <w:rPr>
          <w:iCs/>
        </w:rPr>
        <w:t xml:space="preserve">t be welcoming, safe, engaging, </w:t>
      </w:r>
      <w:r w:rsidRPr="00965B26">
        <w:rPr>
          <w:iCs/>
        </w:rPr>
        <w:t>and appropriate to the age, maturity, experience, health, skill, physical abilities, emotional capabilities and exceptionalities of the participants</w:t>
      </w:r>
    </w:p>
    <w:p w:rsidR="00965B26" w:rsidRDefault="00965B26" w:rsidP="00136985">
      <w:pPr>
        <w:rPr>
          <w:i/>
          <w:iCs/>
        </w:rPr>
      </w:pPr>
    </w:p>
    <w:p w:rsidR="00561DCE" w:rsidRPr="00136985" w:rsidRDefault="00561DCE" w:rsidP="00136985">
      <w:pPr>
        <w:rPr>
          <w:i/>
          <w:iCs/>
        </w:rPr>
      </w:pPr>
      <w:r w:rsidRPr="00136985">
        <w:rPr>
          <w:i/>
          <w:iCs/>
        </w:rPr>
        <w:t xml:space="preserve">Excursion </w:t>
      </w:r>
      <w:r w:rsidRPr="00E47E44">
        <w:rPr>
          <w:iCs/>
        </w:rPr>
        <w:t>refers to any approved, school-organized educational activity involving students that takes place off school property</w:t>
      </w:r>
      <w:r w:rsidR="00C8210C">
        <w:rPr>
          <w:iCs/>
        </w:rPr>
        <w:t>.</w:t>
      </w:r>
    </w:p>
    <w:p w:rsidR="004762C5" w:rsidRDefault="004762C5" w:rsidP="00136985">
      <w:pPr>
        <w:rPr>
          <w:i/>
          <w:iCs/>
        </w:rPr>
      </w:pPr>
    </w:p>
    <w:p w:rsidR="00965B26" w:rsidRDefault="00965B26" w:rsidP="00136985">
      <w:pPr>
        <w:rPr>
          <w:i/>
          <w:iCs/>
        </w:rPr>
      </w:pPr>
      <w:r w:rsidRPr="00965B26">
        <w:rPr>
          <w:i/>
          <w:iCs/>
        </w:rPr>
        <w:t>Super</w:t>
      </w:r>
      <w:r>
        <w:rPr>
          <w:i/>
          <w:iCs/>
        </w:rPr>
        <w:t xml:space="preserve">intendent Approved Activities </w:t>
      </w:r>
      <w:r w:rsidRPr="00965B26">
        <w:rPr>
          <w:iCs/>
        </w:rPr>
        <w:t>refers to any activities that involve increased risk or special safety considerations, including all excursions outside the Greater Toronto Area (GTA), overnight, in/on the water, or that require special qualifications or certification for supervision as per the OPHEA Safety Guidelines.</w:t>
      </w:r>
    </w:p>
    <w:p w:rsidR="00965B26" w:rsidRDefault="00965B26" w:rsidP="00136985">
      <w:pPr>
        <w:rPr>
          <w:i/>
          <w:iCs/>
        </w:rPr>
      </w:pPr>
    </w:p>
    <w:p w:rsidR="00561DCE" w:rsidRDefault="00561DCE" w:rsidP="00136985">
      <w:pPr>
        <w:rPr>
          <w:i/>
          <w:iCs/>
        </w:rPr>
      </w:pPr>
      <w:r w:rsidRPr="00136985">
        <w:rPr>
          <w:i/>
          <w:iCs/>
        </w:rPr>
        <w:t xml:space="preserve">Supervision of Students </w:t>
      </w:r>
      <w:r w:rsidRPr="00E47E44">
        <w:rPr>
          <w:iCs/>
        </w:rPr>
        <w:t>refers to the overseeing for the purpose of direction, and ensuring safety and security of all participants.  Supervision is the vigilant overseeing of an activity for regulation or direction. All facilities, equipment and activities have inherent risks, but the more effectively they are supervised, the safer they become</w:t>
      </w:r>
      <w:r w:rsidR="00136985" w:rsidRPr="00E47E44">
        <w:rPr>
          <w:iCs/>
        </w:rPr>
        <w:t>.</w:t>
      </w:r>
    </w:p>
    <w:p w:rsidR="00F436C4" w:rsidRDefault="00F436C4" w:rsidP="00136985">
      <w:pPr>
        <w:rPr>
          <w:i/>
          <w:iCs/>
        </w:rPr>
      </w:pPr>
    </w:p>
    <w:p w:rsidR="00C7068E" w:rsidRDefault="00C7068E" w:rsidP="00C7068E">
      <w:pPr>
        <w:rPr>
          <w:iCs/>
        </w:rPr>
      </w:pPr>
      <w:r>
        <w:rPr>
          <w:i/>
          <w:iCs/>
        </w:rPr>
        <w:t>S</w:t>
      </w:r>
      <w:r w:rsidRPr="00F436C4">
        <w:rPr>
          <w:i/>
          <w:iCs/>
        </w:rPr>
        <w:t>upervisor</w:t>
      </w:r>
      <w:r w:rsidRPr="00965B26">
        <w:rPr>
          <w:iCs/>
        </w:rPr>
        <w:t xml:space="preserve">, </w:t>
      </w:r>
      <w:r w:rsidRPr="00F436C4">
        <w:rPr>
          <w:iCs/>
        </w:rPr>
        <w:t xml:space="preserve">for the purposes of this </w:t>
      </w:r>
      <w:r>
        <w:rPr>
          <w:iCs/>
        </w:rPr>
        <w:t>P</w:t>
      </w:r>
      <w:r w:rsidRPr="00F436C4">
        <w:rPr>
          <w:iCs/>
        </w:rPr>
        <w:t>olicy, refers</w:t>
      </w:r>
      <w:r>
        <w:rPr>
          <w:i/>
          <w:iCs/>
        </w:rPr>
        <w:t xml:space="preserve"> to</w:t>
      </w:r>
      <w:r w:rsidRPr="00F436C4">
        <w:rPr>
          <w:i/>
          <w:iCs/>
        </w:rPr>
        <w:t xml:space="preserve"> </w:t>
      </w:r>
      <w:r w:rsidRPr="00F436C4">
        <w:rPr>
          <w:iCs/>
        </w:rPr>
        <w:t xml:space="preserve">a teacher, principal, or vice-principal employed by the </w:t>
      </w:r>
      <w:r>
        <w:rPr>
          <w:iCs/>
        </w:rPr>
        <w:t>B</w:t>
      </w:r>
      <w:r w:rsidRPr="00F436C4">
        <w:rPr>
          <w:iCs/>
        </w:rPr>
        <w:t xml:space="preserve">oard. </w:t>
      </w:r>
    </w:p>
    <w:p w:rsidR="00965B26" w:rsidRDefault="00965B26" w:rsidP="00C7068E">
      <w:pPr>
        <w:rPr>
          <w:i/>
          <w:iCs/>
        </w:rPr>
      </w:pPr>
    </w:p>
    <w:p w:rsidR="00965B26" w:rsidRDefault="00965B26" w:rsidP="00C7068E">
      <w:pPr>
        <w:rPr>
          <w:i/>
          <w:iCs/>
        </w:rPr>
      </w:pPr>
      <w:r>
        <w:rPr>
          <w:i/>
          <w:iCs/>
        </w:rPr>
        <w:t>Volunteer</w:t>
      </w:r>
      <w:r w:rsidRPr="00965B26">
        <w:rPr>
          <w:iCs/>
        </w:rPr>
        <w:t>, f</w:t>
      </w:r>
      <w:r w:rsidR="00D84F89">
        <w:rPr>
          <w:iCs/>
        </w:rPr>
        <w:t>or the purposes of this P</w:t>
      </w:r>
      <w:r w:rsidRPr="00965B26">
        <w:rPr>
          <w:iCs/>
        </w:rPr>
        <w:t>olicy, refers to a volunteer (not necessarily a teacher) may assist in the supervision of excursions and physical education activities. Examples of volunteers are: instructional assistants, educational assistants, retired teachers, co-op students, parents/guardians and teacher candidates. These volunteers must not be the sole supervisors of any activity</w:t>
      </w:r>
      <w:r w:rsidR="008916B4">
        <w:rPr>
          <w:iCs/>
        </w:rPr>
        <w:t>.</w:t>
      </w:r>
    </w:p>
    <w:p w:rsidR="00136985" w:rsidRDefault="00136985" w:rsidP="00136985">
      <w:pPr>
        <w:rPr>
          <w:i/>
          <w:iCs/>
        </w:rPr>
      </w:pPr>
    </w:p>
    <w:p w:rsidR="00136985" w:rsidRPr="00136985" w:rsidRDefault="00136985" w:rsidP="00136985">
      <w:r w:rsidRPr="00DE4CE0">
        <w:rPr>
          <w:i/>
          <w:iCs/>
        </w:rPr>
        <w:t xml:space="preserve">TDSB </w:t>
      </w:r>
      <w:r w:rsidRPr="00DE4CE0">
        <w:t>is the Toronto District School Board, which is also referred to as the “Board”.</w:t>
      </w:r>
    </w:p>
    <w:p w:rsidR="00680319" w:rsidRDefault="00F436C4" w:rsidP="00B93727">
      <w:pPr>
        <w:pStyle w:val="Heading1"/>
        <w:numPr>
          <w:ilvl w:val="0"/>
          <w:numId w:val="3"/>
        </w:numPr>
        <w:tabs>
          <w:tab w:val="left" w:pos="540"/>
        </w:tabs>
      </w:pPr>
      <w:r w:rsidRPr="00DE4CE0">
        <w:t>RESPONSIBILITY</w:t>
      </w:r>
    </w:p>
    <w:p w:rsidR="00F436C4" w:rsidRPr="00910AE9" w:rsidRDefault="00910AE9" w:rsidP="00910AE9">
      <w:r w:rsidRPr="00910AE9">
        <w:t>Associate Director, Leadership, Learning and School Improvement</w:t>
      </w:r>
    </w:p>
    <w:p w:rsidR="00680319" w:rsidRPr="00DE4CE0" w:rsidRDefault="00F436C4" w:rsidP="00B93727">
      <w:pPr>
        <w:pStyle w:val="Heading1"/>
        <w:numPr>
          <w:ilvl w:val="0"/>
          <w:numId w:val="3"/>
        </w:numPr>
        <w:tabs>
          <w:tab w:val="left" w:pos="540"/>
        </w:tabs>
      </w:pPr>
      <w:r w:rsidRPr="00DE4CE0">
        <w:t>APPLICATION AND SCOPE</w:t>
      </w:r>
      <w:r>
        <w:t xml:space="preserve"> </w:t>
      </w:r>
    </w:p>
    <w:p w:rsidR="00F436C4" w:rsidRDefault="00F436C4" w:rsidP="00F436C4">
      <w:r>
        <w:t>This Policy applies to all employees and Trustees of the Board.</w:t>
      </w:r>
    </w:p>
    <w:p w:rsidR="00F436C4" w:rsidRDefault="00F436C4" w:rsidP="00F436C4"/>
    <w:p w:rsidR="008916B4" w:rsidRDefault="00F436C4" w:rsidP="008916B4">
      <w:r>
        <w:t>The Policy also covers students, parents and guardians, occasional staff, volunteers, and Board employed or affiliated registered medical/health</w:t>
      </w:r>
      <w:r w:rsidR="00D51E2A">
        <w:t xml:space="preserve"> professionals.</w:t>
      </w:r>
    </w:p>
    <w:p w:rsidR="008916B4" w:rsidRDefault="008916B4" w:rsidP="00B93727">
      <w:pPr>
        <w:pStyle w:val="Heading1"/>
        <w:numPr>
          <w:ilvl w:val="0"/>
          <w:numId w:val="3"/>
        </w:numPr>
        <w:tabs>
          <w:tab w:val="left" w:pos="540"/>
        </w:tabs>
      </w:pPr>
      <w:r>
        <w:t xml:space="preserve">POLICY </w:t>
      </w:r>
    </w:p>
    <w:p w:rsidR="008916B4" w:rsidRPr="008916B4" w:rsidRDefault="00C3016A" w:rsidP="00B93727">
      <w:pPr>
        <w:numPr>
          <w:ilvl w:val="1"/>
          <w:numId w:val="32"/>
        </w:numPr>
        <w:tabs>
          <w:tab w:val="left" w:pos="1170"/>
          <w:tab w:val="left" w:pos="1350"/>
        </w:tabs>
        <w:ind w:left="1080" w:hanging="540"/>
        <w:jc w:val="both"/>
        <w:rPr>
          <w:rFonts w:cs="Arial"/>
          <w:color w:val="000000" w:themeColor="text1"/>
        </w:rPr>
      </w:pPr>
      <w:r w:rsidRPr="008916B4">
        <w:rPr>
          <w:rFonts w:cs="Arial"/>
          <w:color w:val="000000" w:themeColor="text1"/>
        </w:rPr>
        <w:t>The Board recognizes and encourages the educational value of learning experiences in the world beyond the classroom and acknowledges that excursions should be an integral part of every student's program of studies</w:t>
      </w:r>
      <w:r w:rsidR="00C8210C" w:rsidRPr="008916B4">
        <w:rPr>
          <w:rFonts w:cs="Arial"/>
          <w:color w:val="000000" w:themeColor="text1"/>
        </w:rPr>
        <w:t>.</w:t>
      </w:r>
    </w:p>
    <w:p w:rsidR="008916B4" w:rsidRDefault="008916B4" w:rsidP="008916B4"/>
    <w:p w:rsidR="008916B4" w:rsidRPr="008916B4" w:rsidRDefault="00C3016A" w:rsidP="00B93727">
      <w:pPr>
        <w:numPr>
          <w:ilvl w:val="1"/>
          <w:numId w:val="32"/>
        </w:numPr>
        <w:ind w:left="1080" w:hanging="540"/>
        <w:jc w:val="both"/>
        <w:rPr>
          <w:rFonts w:cs="Arial"/>
          <w:color w:val="000000" w:themeColor="text1"/>
        </w:rPr>
      </w:pPr>
      <w:r w:rsidRPr="008916B4">
        <w:rPr>
          <w:rFonts w:cs="Arial"/>
          <w:color w:val="000000" w:themeColor="text1"/>
        </w:rPr>
        <w:t xml:space="preserve">Excursions shall receive the same degree of preparation and follow-up as other curricular </w:t>
      </w:r>
      <w:r w:rsidR="00C8210C" w:rsidRPr="008916B4">
        <w:rPr>
          <w:rFonts w:cs="Arial"/>
          <w:color w:val="000000" w:themeColor="text1"/>
        </w:rPr>
        <w:t xml:space="preserve">activities. </w:t>
      </w:r>
    </w:p>
    <w:p w:rsidR="008916B4" w:rsidRDefault="008916B4" w:rsidP="008916B4"/>
    <w:p w:rsidR="008916B4" w:rsidRPr="008916B4" w:rsidRDefault="00C8210C" w:rsidP="00B93727">
      <w:pPr>
        <w:numPr>
          <w:ilvl w:val="1"/>
          <w:numId w:val="32"/>
        </w:numPr>
        <w:ind w:left="1080" w:hanging="540"/>
        <w:jc w:val="both"/>
        <w:rPr>
          <w:rFonts w:cs="Arial"/>
          <w:color w:val="000000" w:themeColor="text1"/>
        </w:rPr>
      </w:pPr>
      <w:r w:rsidRPr="008916B4">
        <w:rPr>
          <w:rFonts w:cs="Arial"/>
          <w:color w:val="000000" w:themeColor="text1"/>
        </w:rPr>
        <w:t>The</w:t>
      </w:r>
      <w:r w:rsidR="00C3016A" w:rsidRPr="008916B4">
        <w:rPr>
          <w:rFonts w:cs="Arial"/>
          <w:color w:val="000000" w:themeColor="text1"/>
        </w:rPr>
        <w:t xml:space="preserve"> excursion shall have an educational purpose with curricular relevance that is clearly identified by staff for students and their custodial parent(s)/guardian(s).</w:t>
      </w:r>
    </w:p>
    <w:p w:rsidR="008916B4" w:rsidRDefault="008916B4" w:rsidP="008916B4"/>
    <w:p w:rsidR="008916B4" w:rsidRPr="008916B4" w:rsidRDefault="00C3016A" w:rsidP="00B93727">
      <w:pPr>
        <w:numPr>
          <w:ilvl w:val="1"/>
          <w:numId w:val="32"/>
        </w:numPr>
        <w:ind w:left="1080" w:hanging="540"/>
        <w:jc w:val="both"/>
        <w:rPr>
          <w:rFonts w:cs="Arial"/>
          <w:color w:val="000000" w:themeColor="text1"/>
        </w:rPr>
      </w:pPr>
      <w:r w:rsidRPr="008916B4">
        <w:rPr>
          <w:rFonts w:cs="Arial"/>
          <w:color w:val="000000" w:themeColor="text1"/>
        </w:rPr>
        <w:t>The written informed consent of custodial parent(s) or guardian(s) shall be obtained for all excursions.</w:t>
      </w:r>
    </w:p>
    <w:p w:rsidR="008916B4" w:rsidRDefault="008916B4" w:rsidP="008916B4"/>
    <w:p w:rsidR="008916B4" w:rsidRPr="001B48EE" w:rsidRDefault="001B48EE" w:rsidP="001B48EE">
      <w:pPr>
        <w:numPr>
          <w:ilvl w:val="1"/>
          <w:numId w:val="32"/>
        </w:numPr>
        <w:ind w:left="1080" w:hanging="540"/>
        <w:jc w:val="both"/>
        <w:rPr>
          <w:rFonts w:cs="Arial"/>
          <w:color w:val="000000" w:themeColor="text1"/>
        </w:rPr>
      </w:pPr>
      <w:r w:rsidRPr="001B48EE">
        <w:rPr>
          <w:rFonts w:cs="Arial"/>
          <w:color w:val="000000" w:themeColor="text1"/>
        </w:rPr>
        <w:t>Parents, guardians, and students must be informed of any swim test(s) and the results of the swim test(s) prior to participating in any water based activities.</w:t>
      </w:r>
    </w:p>
    <w:p w:rsidR="008916B4" w:rsidRDefault="008916B4" w:rsidP="008916B4"/>
    <w:p w:rsidR="008916B4" w:rsidRPr="008916B4" w:rsidRDefault="00815775" w:rsidP="00B93727">
      <w:pPr>
        <w:numPr>
          <w:ilvl w:val="1"/>
          <w:numId w:val="32"/>
        </w:numPr>
        <w:ind w:left="1080" w:hanging="540"/>
        <w:jc w:val="both"/>
        <w:rPr>
          <w:rFonts w:cs="Arial"/>
          <w:color w:val="000000" w:themeColor="text1"/>
        </w:rPr>
      </w:pPr>
      <w:r w:rsidRPr="008916B4">
        <w:rPr>
          <w:rFonts w:cs="Arial"/>
          <w:color w:val="000000" w:themeColor="text1"/>
        </w:rPr>
        <w:t>In alignment with the Equity Policy (P037), schools and workplaces should make every reasonable effort to be aware of the religious observances of their staff, students and community when planning special meetings, examination schedules, school concerts, parent interviews, field trips, and other significant events. These limitations do not apply where it is known that none of the potential participants would observe the particular day in question.</w:t>
      </w:r>
    </w:p>
    <w:p w:rsidR="008916B4" w:rsidRDefault="008916B4" w:rsidP="008916B4"/>
    <w:p w:rsidR="008916B4" w:rsidRPr="008916B4" w:rsidRDefault="00D84F89" w:rsidP="00B93727">
      <w:pPr>
        <w:numPr>
          <w:ilvl w:val="1"/>
          <w:numId w:val="32"/>
        </w:numPr>
        <w:ind w:left="1080" w:hanging="540"/>
        <w:jc w:val="both"/>
        <w:rPr>
          <w:rFonts w:cs="Arial"/>
          <w:color w:val="000000" w:themeColor="text1"/>
        </w:rPr>
      </w:pPr>
      <w:r w:rsidRPr="008916B4">
        <w:rPr>
          <w:rFonts w:cs="Arial"/>
          <w:color w:val="000000" w:themeColor="text1"/>
        </w:rPr>
        <w:t>Every effort shall be made to ensure that equitable inclusion is incorporated in the planning and execution of all excursions. These activities must proactively reflect the myriad of experiences, and the different ways of knowing and being, of all students.</w:t>
      </w:r>
    </w:p>
    <w:p w:rsidR="008916B4" w:rsidRDefault="008916B4" w:rsidP="008916B4">
      <w:pPr>
        <w:rPr>
          <w:b/>
        </w:rPr>
      </w:pPr>
    </w:p>
    <w:p w:rsidR="008916B4" w:rsidRPr="008916B4" w:rsidRDefault="00232387" w:rsidP="00B93727">
      <w:pPr>
        <w:numPr>
          <w:ilvl w:val="1"/>
          <w:numId w:val="32"/>
        </w:numPr>
        <w:ind w:left="1080" w:hanging="540"/>
        <w:jc w:val="both"/>
        <w:rPr>
          <w:rFonts w:cs="Arial"/>
          <w:color w:val="000000" w:themeColor="text1"/>
        </w:rPr>
      </w:pPr>
      <w:r>
        <w:rPr>
          <w:rFonts w:cs="Arial"/>
          <w:color w:val="000000" w:themeColor="text1"/>
        </w:rPr>
        <w:t xml:space="preserve">Where possible, school </w:t>
      </w:r>
      <w:bookmarkStart w:id="0" w:name="_GoBack"/>
      <w:bookmarkEnd w:id="0"/>
      <w:r w:rsidR="00D84F89" w:rsidRPr="008916B4">
        <w:rPr>
          <w:rFonts w:cs="Arial"/>
          <w:color w:val="000000" w:themeColor="text1"/>
        </w:rPr>
        <w:t>Principals and Superintendents shall collaborate with other schools, Principals and Superintendents to ensure the effective and efficient use of resources in planning and delivery of an excursion involving a similar destination.</w:t>
      </w:r>
    </w:p>
    <w:p w:rsidR="008916B4" w:rsidRDefault="008916B4" w:rsidP="008916B4">
      <w:pPr>
        <w:rPr>
          <w:rFonts w:eastAsiaTheme="majorEastAsia" w:cstheme="majorBidi"/>
          <w:b/>
          <w:szCs w:val="26"/>
        </w:rPr>
      </w:pPr>
    </w:p>
    <w:p w:rsidR="008916B4" w:rsidRPr="008916B4" w:rsidRDefault="00D84F89" w:rsidP="00B93727">
      <w:pPr>
        <w:numPr>
          <w:ilvl w:val="1"/>
          <w:numId w:val="32"/>
        </w:numPr>
        <w:ind w:left="1080" w:hanging="540"/>
        <w:jc w:val="both"/>
        <w:rPr>
          <w:rFonts w:cs="Arial"/>
          <w:color w:val="000000" w:themeColor="text1"/>
        </w:rPr>
      </w:pPr>
      <w:r w:rsidRPr="008916B4">
        <w:rPr>
          <w:rFonts w:cs="Arial"/>
          <w:color w:val="000000" w:themeColor="text1"/>
        </w:rPr>
        <w:t>Excursion planning involves careful consideration and preparation in relation to addressing risk, funding, training, travel, supervision, medical and dietary needs, contingency planning and evaluation.  To assist, excursion destinations must be selected from the TDSB Excursion and Event Facility Directory. Any activity not listed in the Di</w:t>
      </w:r>
      <w:r w:rsidR="008916B4" w:rsidRPr="008916B4">
        <w:rPr>
          <w:rFonts w:cs="Arial"/>
          <w:color w:val="000000" w:themeColor="text1"/>
        </w:rPr>
        <w:t>rectory requires Superintendent</w:t>
      </w:r>
      <w:r w:rsidR="00232387">
        <w:rPr>
          <w:rFonts w:cs="Arial"/>
          <w:color w:val="000000" w:themeColor="text1"/>
        </w:rPr>
        <w:t xml:space="preserve"> </w:t>
      </w:r>
      <w:r w:rsidRPr="008916B4">
        <w:rPr>
          <w:rFonts w:cs="Arial"/>
          <w:color w:val="000000" w:themeColor="text1"/>
        </w:rPr>
        <w:t>approval.</w:t>
      </w:r>
    </w:p>
    <w:p w:rsidR="008916B4" w:rsidRDefault="008916B4" w:rsidP="008916B4">
      <w:pPr>
        <w:rPr>
          <w:b/>
        </w:rPr>
      </w:pPr>
    </w:p>
    <w:p w:rsidR="008916B4" w:rsidRPr="008916B4" w:rsidRDefault="00D84F89" w:rsidP="00B93727">
      <w:pPr>
        <w:numPr>
          <w:ilvl w:val="1"/>
          <w:numId w:val="32"/>
        </w:numPr>
        <w:ind w:left="1080" w:hanging="540"/>
        <w:jc w:val="both"/>
        <w:rPr>
          <w:rFonts w:cs="Arial"/>
          <w:color w:val="000000" w:themeColor="text1"/>
        </w:rPr>
      </w:pPr>
      <w:r w:rsidRPr="008916B4">
        <w:rPr>
          <w:rFonts w:cs="Arial"/>
          <w:color w:val="000000" w:themeColor="text1"/>
        </w:rPr>
        <w:t>No excursion commitments with parent(s)/guardian(s) shall take place until formal approval has been received and excursion forms have been authorized by the Principal, Superintendent or designate.</w:t>
      </w:r>
    </w:p>
    <w:p w:rsidR="008916B4" w:rsidRDefault="008916B4" w:rsidP="008916B4">
      <w:pPr>
        <w:rPr>
          <w:b/>
        </w:rPr>
      </w:pPr>
    </w:p>
    <w:p w:rsidR="008916B4" w:rsidRDefault="00D51E2A" w:rsidP="00B93727">
      <w:pPr>
        <w:numPr>
          <w:ilvl w:val="1"/>
          <w:numId w:val="32"/>
        </w:numPr>
        <w:ind w:left="1080" w:hanging="540"/>
        <w:jc w:val="both"/>
        <w:rPr>
          <w:rFonts w:cs="Arial"/>
          <w:color w:val="000000" w:themeColor="text1"/>
        </w:rPr>
      </w:pPr>
      <w:r w:rsidRPr="008916B4">
        <w:rPr>
          <w:rFonts w:cs="Arial"/>
          <w:color w:val="000000" w:themeColor="text1"/>
        </w:rPr>
        <w:t>All out of country excursions require additional approval from the Executive Superintendent.</w:t>
      </w:r>
    </w:p>
    <w:p w:rsidR="008916B4" w:rsidRPr="008916B4" w:rsidRDefault="008916B4" w:rsidP="008916B4">
      <w:pPr>
        <w:ind w:left="1350"/>
        <w:jc w:val="both"/>
        <w:rPr>
          <w:rFonts w:cs="Arial"/>
          <w:color w:val="000000" w:themeColor="text1"/>
        </w:rPr>
      </w:pPr>
    </w:p>
    <w:p w:rsidR="008916B4" w:rsidRPr="008916B4" w:rsidRDefault="00D51E2A" w:rsidP="00B93727">
      <w:pPr>
        <w:numPr>
          <w:ilvl w:val="1"/>
          <w:numId w:val="32"/>
        </w:numPr>
        <w:ind w:left="1080" w:hanging="540"/>
        <w:jc w:val="both"/>
        <w:rPr>
          <w:rFonts w:cs="Arial"/>
          <w:color w:val="000000" w:themeColor="text1"/>
        </w:rPr>
      </w:pPr>
      <w:r w:rsidRPr="008916B4">
        <w:rPr>
          <w:rFonts w:cs="Arial"/>
          <w:color w:val="000000" w:themeColor="text1"/>
        </w:rPr>
        <w:t>The Board will provide support to students to be able to participate in all excursion activities including activities requiring skills training such as swimming. Rich and diverse alternative activities, including any assessments, shall be planned for all students who do not participate in any part of the excursion. As per Growing Success, all students participating in an excursion must be allowed to complete any assessments missed due to the excursion within a reasonable time after the excursion and without penalty.</w:t>
      </w:r>
    </w:p>
    <w:p w:rsidR="008916B4" w:rsidRDefault="008916B4" w:rsidP="008916B4"/>
    <w:p w:rsidR="008916B4" w:rsidRPr="008916B4" w:rsidRDefault="00D51E2A" w:rsidP="00B93727">
      <w:pPr>
        <w:numPr>
          <w:ilvl w:val="1"/>
          <w:numId w:val="32"/>
        </w:numPr>
        <w:ind w:left="1080" w:hanging="540"/>
        <w:jc w:val="both"/>
        <w:rPr>
          <w:rFonts w:cs="Arial"/>
          <w:color w:val="000000" w:themeColor="text1"/>
        </w:rPr>
      </w:pPr>
      <w:r w:rsidRPr="008916B4">
        <w:rPr>
          <w:rFonts w:cs="Arial"/>
          <w:color w:val="000000" w:themeColor="text1"/>
        </w:rPr>
        <w:t>The principal and/or Superintendent shall ensure that a sufficient number of teachers and adult supervisors accompany students on excursions.</w:t>
      </w:r>
    </w:p>
    <w:p w:rsidR="008916B4" w:rsidRDefault="008916B4" w:rsidP="008916B4">
      <w:pPr>
        <w:rPr>
          <w:b/>
        </w:rPr>
      </w:pPr>
    </w:p>
    <w:p w:rsidR="008916B4" w:rsidRPr="008916B4" w:rsidRDefault="00D51E2A" w:rsidP="00B93727">
      <w:pPr>
        <w:numPr>
          <w:ilvl w:val="1"/>
          <w:numId w:val="32"/>
        </w:numPr>
        <w:ind w:left="1080" w:hanging="540"/>
        <w:jc w:val="both"/>
        <w:rPr>
          <w:rFonts w:cs="Arial"/>
          <w:color w:val="000000" w:themeColor="text1"/>
        </w:rPr>
      </w:pPr>
      <w:r w:rsidRPr="008916B4">
        <w:rPr>
          <w:rFonts w:cs="Arial"/>
          <w:color w:val="000000" w:themeColor="text1"/>
        </w:rPr>
        <w:t>Any incident occurring during an excursion must be reported and documented in the TDSB’s online incident report. Any issues that arise will be satisfactorily resolved prior to any similar excursion occurring.</w:t>
      </w:r>
    </w:p>
    <w:p w:rsidR="008916B4" w:rsidRDefault="008916B4" w:rsidP="008916B4">
      <w:pPr>
        <w:rPr>
          <w:b/>
        </w:rPr>
      </w:pPr>
    </w:p>
    <w:p w:rsidR="00D51E2A" w:rsidRPr="008916B4" w:rsidRDefault="00D51E2A" w:rsidP="00B93727">
      <w:pPr>
        <w:numPr>
          <w:ilvl w:val="1"/>
          <w:numId w:val="32"/>
        </w:numPr>
        <w:ind w:left="1080" w:hanging="540"/>
        <w:jc w:val="both"/>
        <w:rPr>
          <w:rFonts w:cs="Arial"/>
          <w:color w:val="000000" w:themeColor="text1"/>
        </w:rPr>
      </w:pPr>
      <w:r w:rsidRPr="008916B4">
        <w:rPr>
          <w:rFonts w:cs="Arial"/>
          <w:color w:val="000000" w:themeColor="text1"/>
        </w:rPr>
        <w:t>The TDSB’s Board Code of Conduct and all other associated policies and procedures shall apply to all employees, parent(s)/guardian(s), volunteers and activity destination vendors during an excursion.</w:t>
      </w:r>
    </w:p>
    <w:p w:rsidR="00680319" w:rsidRDefault="00680319" w:rsidP="00B93727">
      <w:pPr>
        <w:pStyle w:val="Heading1"/>
        <w:numPr>
          <w:ilvl w:val="0"/>
          <w:numId w:val="3"/>
        </w:numPr>
        <w:tabs>
          <w:tab w:val="left" w:pos="540"/>
        </w:tabs>
      </w:pPr>
      <w:r w:rsidRPr="00DE4CE0">
        <w:t>SPECIFIC DIRECTIVES</w:t>
      </w:r>
    </w:p>
    <w:p w:rsidR="00910AE9" w:rsidRPr="00910AE9" w:rsidRDefault="00910AE9" w:rsidP="00910AE9">
      <w:r w:rsidRPr="00DE4CE0">
        <w:t>The Director of Education is authorized to issue operational procedures to implement this policy</w:t>
      </w:r>
      <w:r>
        <w:t>.</w:t>
      </w:r>
    </w:p>
    <w:p w:rsidR="00680319" w:rsidRPr="00DE4CE0" w:rsidRDefault="00F436C4" w:rsidP="00B93727">
      <w:pPr>
        <w:pStyle w:val="Heading1"/>
        <w:numPr>
          <w:ilvl w:val="0"/>
          <w:numId w:val="3"/>
        </w:numPr>
        <w:tabs>
          <w:tab w:val="left" w:pos="540"/>
        </w:tabs>
      </w:pPr>
      <w:r w:rsidRPr="00DE4CE0">
        <w:t>EVALUATION</w:t>
      </w:r>
    </w:p>
    <w:p w:rsidR="00F436C4" w:rsidRPr="00F436C4" w:rsidRDefault="00F436C4" w:rsidP="00F436C4">
      <w:r w:rsidRPr="00F436C4">
        <w:t>This Policy is to be reviewed and updated as required but at a minimum every four (4) years.</w:t>
      </w:r>
    </w:p>
    <w:p w:rsidR="00680319" w:rsidRPr="00DE4CE0" w:rsidRDefault="00680319" w:rsidP="00B93727">
      <w:pPr>
        <w:pStyle w:val="Heading1"/>
        <w:numPr>
          <w:ilvl w:val="0"/>
          <w:numId w:val="3"/>
        </w:numPr>
        <w:tabs>
          <w:tab w:val="left" w:pos="540"/>
        </w:tabs>
      </w:pPr>
      <w:r w:rsidRPr="00DE4CE0">
        <w:t>APPENDICES</w:t>
      </w:r>
    </w:p>
    <w:p w:rsidR="00680319" w:rsidRPr="00DE4CE0" w:rsidRDefault="00C3016A" w:rsidP="00E46E5D">
      <w:pPr>
        <w:pStyle w:val="ListParagraph"/>
        <w:numPr>
          <w:ilvl w:val="0"/>
          <w:numId w:val="4"/>
        </w:numPr>
      </w:pPr>
      <w:r>
        <w:t>Not Applicable</w:t>
      </w:r>
    </w:p>
    <w:p w:rsidR="00680319" w:rsidRPr="00DE4CE0" w:rsidRDefault="00B93727" w:rsidP="00B93727">
      <w:pPr>
        <w:pStyle w:val="Heading1"/>
        <w:numPr>
          <w:ilvl w:val="0"/>
          <w:numId w:val="3"/>
        </w:numPr>
        <w:tabs>
          <w:tab w:val="left" w:pos="540"/>
        </w:tabs>
      </w:pPr>
      <w:r>
        <w:t xml:space="preserve"> </w:t>
      </w:r>
      <w:r w:rsidR="00680319" w:rsidRPr="00E46E5D">
        <w:t>REFERENCE DOCUMENTS</w:t>
      </w:r>
    </w:p>
    <w:p w:rsidR="00832A1C" w:rsidRPr="00DE4CE0" w:rsidRDefault="00832A1C" w:rsidP="00E46E5D">
      <w:r w:rsidRPr="00DE4CE0">
        <w:t>Legislation</w:t>
      </w:r>
    </w:p>
    <w:p w:rsidR="00832A1C" w:rsidRPr="00DE4CE0" w:rsidRDefault="002D071F" w:rsidP="00E46E5D">
      <w:pPr>
        <w:pStyle w:val="ListParagraph"/>
        <w:numPr>
          <w:ilvl w:val="0"/>
          <w:numId w:val="12"/>
        </w:numPr>
      </w:pPr>
      <w:r>
        <w:rPr>
          <w:i/>
        </w:rPr>
        <w:t xml:space="preserve">Education Act, </w:t>
      </w:r>
      <w:r>
        <w:t xml:space="preserve">section 171 </w:t>
      </w:r>
    </w:p>
    <w:p w:rsidR="00832A1C" w:rsidRPr="00DE4CE0" w:rsidRDefault="00832A1C" w:rsidP="00E46E5D"/>
    <w:p w:rsidR="00832A1C" w:rsidRPr="00DE4CE0" w:rsidRDefault="00832A1C" w:rsidP="00E46E5D">
      <w:r w:rsidRPr="00DE4CE0">
        <w:t>Policies</w:t>
      </w:r>
    </w:p>
    <w:p w:rsidR="00D51E2A" w:rsidRDefault="00D51E2A" w:rsidP="00E46E5D">
      <w:pPr>
        <w:pStyle w:val="ListParagraph"/>
        <w:numPr>
          <w:ilvl w:val="0"/>
          <w:numId w:val="12"/>
        </w:numPr>
      </w:pPr>
      <w:r>
        <w:t>Caring and Safe Schools Policy (P051)</w:t>
      </w:r>
    </w:p>
    <w:p w:rsidR="00D51E2A" w:rsidRDefault="00D51E2A" w:rsidP="00C8210C">
      <w:pPr>
        <w:pStyle w:val="ListParagraph"/>
        <w:numPr>
          <w:ilvl w:val="0"/>
          <w:numId w:val="12"/>
        </w:numPr>
      </w:pPr>
      <w:r>
        <w:t>Equity Policy (P037)</w:t>
      </w:r>
    </w:p>
    <w:p w:rsidR="00D51E2A" w:rsidRDefault="00D51E2A" w:rsidP="00C7068E">
      <w:pPr>
        <w:pStyle w:val="ListParagraph"/>
        <w:numPr>
          <w:ilvl w:val="0"/>
          <w:numId w:val="12"/>
        </w:numPr>
      </w:pPr>
      <w:r>
        <w:t>Mission, Values and Goals Policy (P002)</w:t>
      </w:r>
    </w:p>
    <w:p w:rsidR="00D51E2A" w:rsidRPr="00DE4CE0" w:rsidRDefault="00D51E2A" w:rsidP="00E46E5D">
      <w:pPr>
        <w:pStyle w:val="ListParagraph"/>
        <w:numPr>
          <w:ilvl w:val="0"/>
          <w:numId w:val="12"/>
        </w:numPr>
      </w:pPr>
      <w:r>
        <w:t>Student Health Support Policy (P092)</w:t>
      </w:r>
    </w:p>
    <w:p w:rsidR="00D51E2A" w:rsidRDefault="00D51E2A" w:rsidP="00E46E5D"/>
    <w:p w:rsidR="00832A1C" w:rsidRPr="00DE4CE0" w:rsidRDefault="00832A1C" w:rsidP="00E46E5D">
      <w:r w:rsidRPr="00DE4CE0">
        <w:t>Procedures</w:t>
      </w:r>
    </w:p>
    <w:p w:rsidR="00D51E2A" w:rsidRPr="00DE4CE0" w:rsidRDefault="00D51E2A" w:rsidP="00E46E5D">
      <w:pPr>
        <w:pStyle w:val="ListParagraph"/>
        <w:numPr>
          <w:ilvl w:val="0"/>
          <w:numId w:val="12"/>
        </w:numPr>
      </w:pPr>
      <w:r w:rsidRPr="00D51E2A">
        <w:t>Board Code of Conduct Procedure (PR585)</w:t>
      </w:r>
    </w:p>
    <w:p w:rsidR="00D51E2A" w:rsidRDefault="00D51E2A" w:rsidP="00E46E5D">
      <w:pPr>
        <w:pStyle w:val="ListParagraph"/>
        <w:numPr>
          <w:ilvl w:val="0"/>
          <w:numId w:val="12"/>
        </w:numPr>
      </w:pPr>
      <w:r w:rsidRPr="00C3016A">
        <w:t xml:space="preserve">Excursions </w:t>
      </w:r>
      <w:r>
        <w:t xml:space="preserve">Procedure </w:t>
      </w:r>
      <w:r w:rsidRPr="00C3016A">
        <w:t>(PR511)</w:t>
      </w:r>
    </w:p>
    <w:p w:rsidR="00832A1C" w:rsidRPr="00DE4CE0" w:rsidRDefault="00832A1C" w:rsidP="00E46E5D">
      <w:r w:rsidRPr="00DE4CE0">
        <w:t>Other Documents:</w:t>
      </w:r>
    </w:p>
    <w:p w:rsidR="00C8210C" w:rsidRPr="00DE4CE0" w:rsidRDefault="00D51E2A" w:rsidP="00C8210C">
      <w:pPr>
        <w:pStyle w:val="ListParagraph"/>
        <w:numPr>
          <w:ilvl w:val="0"/>
          <w:numId w:val="12"/>
        </w:numPr>
      </w:pPr>
      <w:r>
        <w:rPr>
          <w:bCs/>
          <w:iCs/>
        </w:rPr>
        <w:t>OPHEA Safety</w:t>
      </w:r>
      <w:r w:rsidR="004762C5" w:rsidRPr="00C8210C">
        <w:rPr>
          <w:bCs/>
          <w:iCs/>
        </w:rPr>
        <w:t xml:space="preserve"> Guide</w:t>
      </w:r>
      <w:r w:rsidR="004762C5">
        <w:rPr>
          <w:bCs/>
          <w:iCs/>
        </w:rPr>
        <w:t>lines</w:t>
      </w:r>
    </w:p>
    <w:sectPr w:rsidR="00C8210C" w:rsidRPr="00DE4CE0" w:rsidSect="00E10A28">
      <w:headerReference w:type="even" r:id="rId9"/>
      <w:headerReference w:type="default" r:id="rId10"/>
      <w:footerReference w:type="default" r:id="rId11"/>
      <w:headerReference w:type="first" r:id="rId12"/>
      <w:footerReference w:type="first" r:id="rId13"/>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39" w:rsidRDefault="00261539" w:rsidP="00E46E5D">
      <w:r>
        <w:separator/>
      </w:r>
    </w:p>
    <w:p w:rsidR="00261539" w:rsidRDefault="00261539" w:rsidP="00E46E5D"/>
  </w:endnote>
  <w:endnote w:type="continuationSeparator" w:id="0">
    <w:p w:rsidR="00261539" w:rsidRDefault="00261539" w:rsidP="00E46E5D">
      <w:r>
        <w:continuationSeparator/>
      </w:r>
    </w:p>
    <w:p w:rsidR="00261539" w:rsidRDefault="00261539" w:rsidP="00E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22D" w:rsidRDefault="00FA3828" w:rsidP="00845A9F">
    <w:pPr>
      <w:jc w:val="right"/>
    </w:pPr>
    <w:r>
      <w:rPr>
        <w:noProof/>
        <w:lang w:eastAsia="en-CA"/>
      </w:rPr>
      <mc:AlternateContent>
        <mc:Choice Requires="wps">
          <w:drawing>
            <wp:anchor distT="0" distB="0" distL="114300" distR="114300" simplePos="0" relativeHeight="251662336" behindDoc="0" locked="0" layoutInCell="0" allowOverlap="1" wp14:anchorId="45A3BC06" wp14:editId="35711B3B">
              <wp:simplePos x="0" y="0"/>
              <wp:positionH relativeFrom="column">
                <wp:posOffset>-9525</wp:posOffset>
              </wp:positionH>
              <wp:positionV relativeFrom="margin">
                <wp:posOffset>8246110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3pt" to="467.25pt,6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" o:allowincell="f">
              <w10:wrap anchory="margin"/>
            </v:line>
          </w:pict>
        </mc:Fallback>
      </mc:AlternateContent>
    </w:r>
    <w:r>
      <w:rPr>
        <w:noProof/>
        <w:lang w:eastAsia="en-CA"/>
      </w:rPr>
      <mc:AlternateContent>
        <mc:Choice Requires="wps">
          <w:drawing>
            <wp:anchor distT="0" distB="0" distL="114300" distR="114300" simplePos="0" relativeHeight="251659264" behindDoc="0" locked="0" layoutInCell="0" allowOverlap="1" wp14:anchorId="4F2E733C" wp14:editId="4407A59B">
              <wp:simplePos x="0" y="0"/>
              <wp:positionH relativeFrom="column">
                <wp:posOffset>1062990</wp:posOffset>
              </wp:positionH>
              <wp:positionV relativeFrom="paragraph">
                <wp:posOffset>9328150</wp:posOffset>
              </wp:positionV>
              <wp:extent cx="59664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w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" o:allowincell="f"/>
          </w:pict>
        </mc:Fallback>
      </mc:AlternateContent>
    </w:r>
    <w:r>
      <w:rPr>
        <w:noProof/>
        <w:lang w:eastAsia="en-CA"/>
      </w:rPr>
      <mc:AlternateContent>
        <mc:Choice Requires="wps">
          <w:drawing>
            <wp:anchor distT="0" distB="0" distL="114300" distR="114300" simplePos="0" relativeHeight="251660288" behindDoc="0" locked="0" layoutInCell="0" allowOverlap="1" wp14:anchorId="7468F8DB" wp14:editId="7A1FE9AF">
              <wp:simplePos x="0" y="0"/>
              <wp:positionH relativeFrom="column">
                <wp:posOffset>1062990</wp:posOffset>
              </wp:positionH>
              <wp:positionV relativeFrom="paragraph">
                <wp:posOffset>9328150</wp:posOffset>
              </wp:positionV>
              <wp:extent cx="59664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" o:allowincell="f"/>
          </w:pict>
        </mc:Fallback>
      </mc:AlternateContent>
    </w:r>
    <w:r w:rsidRPr="00655002">
      <w:t xml:space="preserve">Page </w:t>
    </w:r>
    <w:r w:rsidRPr="00655002">
      <w:fldChar w:fldCharType="begin"/>
    </w:r>
    <w:r w:rsidRPr="00655002">
      <w:instrText xml:space="preserve"> PAGE </w:instrText>
    </w:r>
    <w:r w:rsidRPr="00655002">
      <w:fldChar w:fldCharType="separate"/>
    </w:r>
    <w:r w:rsidR="00232387">
      <w:rPr>
        <w:noProof/>
      </w:rPr>
      <w:t>2</w:t>
    </w:r>
    <w:r w:rsidRPr="00655002">
      <w:fldChar w:fldCharType="end"/>
    </w:r>
    <w:r w:rsidRPr="00655002">
      <w:t xml:space="preserve"> of </w:t>
    </w:r>
    <w:r w:rsidR="00232387">
      <w:fldChar w:fldCharType="begin"/>
    </w:r>
    <w:r w:rsidR="00232387">
      <w:instrText xml:space="preserve"> NUMPAGES </w:instrText>
    </w:r>
    <w:r w:rsidR="00232387">
      <w:fldChar w:fldCharType="separate"/>
    </w:r>
    <w:r w:rsidR="00232387">
      <w:rPr>
        <w:noProof/>
      </w:rPr>
      <w:t>5</w:t>
    </w:r>
    <w:r w:rsidR="0023238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47" w:rsidRPr="00D74AEE" w:rsidRDefault="00D74AEE" w:rsidP="00E46E5D">
    <w:pPr>
      <w:rPr>
        <w:sz w:val="20"/>
        <w:szCs w:val="20"/>
      </w:rPr>
    </w:pPr>
    <w:r w:rsidRPr="00D74AEE">
      <w:rPr>
        <w:sz w:val="20"/>
        <w:szCs w:val="20"/>
      </w:rPr>
      <w:t>Excursions Policy (P033)</w:t>
    </w:r>
    <w:r w:rsidR="00FA3828" w:rsidRPr="00D74AEE">
      <w:rPr>
        <w:noProof/>
        <w:sz w:val="20"/>
        <w:szCs w:val="20"/>
        <w:lang w:eastAsia="en-CA"/>
      </w:rPr>
      <mc:AlternateContent>
        <mc:Choice Requires="wps">
          <w:drawing>
            <wp:anchor distT="0" distB="0" distL="114300" distR="114300" simplePos="0" relativeHeight="251663360" behindDoc="0" locked="0" layoutInCell="0" allowOverlap="1" wp14:anchorId="0C81BA41" wp14:editId="67D3058F">
              <wp:simplePos x="0" y="0"/>
              <wp:positionH relativeFrom="column">
                <wp:posOffset>-9525</wp:posOffset>
              </wp:positionH>
              <wp:positionV relativeFrom="margin">
                <wp:posOffset>8248015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" o:allowincell="f">
              <w10:wrap anchory="margin"/>
            </v:line>
          </w:pict>
        </mc:Fallback>
      </mc:AlternateContent>
    </w:r>
    <w:r w:rsidR="00FA3828" w:rsidRPr="00D74AEE">
      <w:rPr>
        <w:noProof/>
        <w:sz w:val="20"/>
        <w:szCs w:val="20"/>
        <w:lang w:eastAsia="en-CA"/>
      </w:rPr>
      <mc:AlternateContent>
        <mc:Choice Requires="wps">
          <w:drawing>
            <wp:anchor distT="0" distB="0" distL="114300" distR="114300" simplePos="0" relativeHeight="251661312" behindDoc="0" locked="0" layoutInCell="0" allowOverlap="1" wp14:anchorId="258936C3" wp14:editId="1C069B54">
              <wp:simplePos x="0" y="0"/>
              <wp:positionH relativeFrom="column">
                <wp:posOffset>1062990</wp:posOffset>
              </wp:positionH>
              <wp:positionV relativeFrom="paragraph">
                <wp:posOffset>9328150</wp:posOffset>
              </wp:positionV>
              <wp:extent cx="59664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W83k2h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" o:allowincell="f"/>
          </w:pict>
        </mc:Fallback>
      </mc:AlternateContent>
    </w:r>
  </w:p>
  <w:p w:rsidR="003F6AF3" w:rsidRPr="00C2222D" w:rsidRDefault="00FA3828" w:rsidP="00E5408E">
    <w:pPr>
      <w:tabs>
        <w:tab w:val="right" w:pos="9360"/>
      </w:tabs>
      <w:rPr>
        <w:sz w:val="20"/>
        <w:szCs w:val="20"/>
      </w:rPr>
    </w:pPr>
    <w:r w:rsidRPr="00C2222D">
      <w:rPr>
        <w:sz w:val="20"/>
        <w:szCs w:val="20"/>
      </w:rPr>
      <w:t>[File Path]</w:t>
    </w:r>
    <w:r w:rsidR="007506EE">
      <w:rPr>
        <w:sz w:val="20"/>
        <w:szCs w:val="20"/>
      </w:rPr>
      <w:tab/>
    </w:r>
    <w:r w:rsidR="007506EE" w:rsidRPr="00FE4929">
      <w:t xml:space="preserve">Page </w:t>
    </w:r>
    <w:r w:rsidR="007506EE" w:rsidRPr="00FE4929">
      <w:fldChar w:fldCharType="begin"/>
    </w:r>
    <w:r w:rsidR="007506EE" w:rsidRPr="00FE4929">
      <w:instrText xml:space="preserve"> PAGE </w:instrText>
    </w:r>
    <w:r w:rsidR="007506EE" w:rsidRPr="00FE4929">
      <w:fldChar w:fldCharType="separate"/>
    </w:r>
    <w:r w:rsidR="004E2CA8">
      <w:rPr>
        <w:noProof/>
      </w:rPr>
      <w:t>1</w:t>
    </w:r>
    <w:r w:rsidR="007506EE" w:rsidRPr="00FE4929">
      <w:fldChar w:fldCharType="end"/>
    </w:r>
    <w:r w:rsidR="007506EE" w:rsidRPr="00FE4929">
      <w:t xml:space="preserve"> of </w:t>
    </w:r>
    <w:r w:rsidR="00232387">
      <w:fldChar w:fldCharType="begin"/>
    </w:r>
    <w:r w:rsidR="00232387">
      <w:instrText xml:space="preserve"> NUMPAGES </w:instrText>
    </w:r>
    <w:r w:rsidR="00232387">
      <w:fldChar w:fldCharType="separate"/>
    </w:r>
    <w:r w:rsidR="004E2CA8">
      <w:rPr>
        <w:noProof/>
      </w:rPr>
      <w:t>5</w:t>
    </w:r>
    <w:r w:rsidR="002323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39" w:rsidRDefault="00261539" w:rsidP="00E46E5D">
      <w:r>
        <w:separator/>
      </w:r>
    </w:p>
    <w:p w:rsidR="00261539" w:rsidRDefault="00261539" w:rsidP="00E46E5D"/>
  </w:footnote>
  <w:footnote w:type="continuationSeparator" w:id="0">
    <w:p w:rsidR="00261539" w:rsidRDefault="00261539" w:rsidP="00E46E5D">
      <w:r>
        <w:continuationSeparator/>
      </w:r>
    </w:p>
    <w:p w:rsidR="00261539" w:rsidRDefault="00261539" w:rsidP="00E46E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47" w:rsidRDefault="00FA3828" w:rsidP="00E46E5D">
    <w:r>
      <w:t>Toronto District School Board</w:t>
    </w:r>
    <w:r>
      <w:tab/>
      <w:t>December 12, 2001</w:t>
    </w:r>
  </w:p>
  <w:p w:rsidR="00631847" w:rsidRDefault="00232387" w:rsidP="00E46E5D"/>
  <w:p w:rsidR="00631847" w:rsidRDefault="00232387" w:rsidP="00E46E5D"/>
  <w:p w:rsidR="0058630C" w:rsidRDefault="0058630C" w:rsidP="00E46E5D"/>
  <w:p w:rsidR="0058630C" w:rsidRDefault="0058630C" w:rsidP="00E46E5D"/>
  <w:p w:rsidR="0058630C" w:rsidRDefault="0058630C" w:rsidP="00E46E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2A" w:rsidRDefault="009063B8" w:rsidP="009063B8">
    <w:pPr>
      <w:pStyle w:val="Header"/>
    </w:pPr>
    <w:sdt>
      <w:sdtPr>
        <w:rPr>
          <w:b/>
        </w:rPr>
        <w:id w:val="1385372941"/>
        <w:docPartObj>
          <w:docPartGallery w:val="Watermarks"/>
          <w:docPartUnique/>
        </w:docPartObj>
      </w:sdtPr>
      <w:sdtContent>
        <w:r w:rsidRPr="009063B8">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73094">
      <w:rPr>
        <w:b/>
      </w:rPr>
      <w:tab/>
    </w:r>
    <w:r>
      <w:rPr>
        <w:b/>
      </w:rPr>
      <w:tab/>
    </w:r>
    <w:r w:rsidRPr="009063B8">
      <w:rPr>
        <w:b/>
        <w:color w:val="FF0000"/>
        <w:szCs w:val="24"/>
      </w:rPr>
      <w:t>Draft for Consultation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94" w:rsidRPr="009063B8" w:rsidRDefault="009063B8" w:rsidP="001A7867">
    <w:pPr>
      <w:pStyle w:val="Header"/>
      <w:rPr>
        <w:b/>
        <w:szCs w:val="24"/>
      </w:rPr>
    </w:pPr>
    <w:r>
      <w:rPr>
        <w:b/>
      </w:rPr>
      <w:tab/>
    </w:r>
    <w:r>
      <w:rPr>
        <w:b/>
      </w:rPr>
      <w:tab/>
    </w:r>
    <w:r w:rsidRPr="009063B8">
      <w:rPr>
        <w:b/>
        <w:szCs w:val="24"/>
      </w:rPr>
      <w:t xml:space="preserve"> </w:t>
    </w:r>
    <w:r w:rsidRPr="009063B8">
      <w:rPr>
        <w:b/>
        <w:color w:val="FF0000"/>
        <w:szCs w:val="24"/>
      </w:rPr>
      <w:t>Draft for Consultation</w:t>
    </w:r>
    <w:r w:rsidR="00173094" w:rsidRPr="009063B8">
      <w:rPr>
        <w:b/>
        <w:szCs w:val="24"/>
      </w:rPr>
      <w:tab/>
    </w:r>
    <w:r w:rsidR="00173094" w:rsidRPr="009063B8">
      <w:rPr>
        <w:b/>
        <w:szCs w:val="24"/>
      </w:rPr>
      <w:tab/>
    </w:r>
  </w:p>
  <w:p w:rsidR="00173094" w:rsidRDefault="00173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C45"/>
    <w:multiLevelType w:val="multilevel"/>
    <w:tmpl w:val="C0808966"/>
    <w:lvl w:ilvl="0">
      <w:start w:val="6"/>
      <w:numFmt w:val="decimal"/>
      <w:lvlText w:val="%1"/>
      <w:lvlJc w:val="left"/>
      <w:pPr>
        <w:ind w:left="360" w:hanging="360"/>
      </w:pPr>
      <w:rPr>
        <w:rFonts w:hint="default"/>
      </w:rPr>
    </w:lvl>
    <w:lvl w:ilvl="1">
      <w:start w:val="1"/>
      <w:numFmt w:val="decimal"/>
      <w:pStyle w:val="BodyText"/>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DE52D09"/>
    <w:multiLevelType w:val="multilevel"/>
    <w:tmpl w:val="EF54ECB6"/>
    <w:styleLink w:val="NumberedHeadingsforPolicy"/>
    <w:lvl w:ilvl="0">
      <w:start w:val="1"/>
      <w:numFmt w:val="decimal"/>
      <w:lvlText w:val="%1."/>
      <w:lvlJc w:val="left"/>
      <w:pPr>
        <w:ind w:left="576" w:hanging="576"/>
      </w:pPr>
      <w:rPr>
        <w:rFonts w:ascii="Arial" w:hAnsi="Arial" w:hint="default"/>
        <w:b/>
        <w:i w:val="0"/>
        <w:caps/>
        <w:sz w:val="26"/>
      </w:rPr>
    </w:lvl>
    <w:lvl w:ilvl="1">
      <w:start w:val="1"/>
      <w:numFmt w:val="decimal"/>
      <w:lvlText w:val="%1.%2."/>
      <w:lvlJc w:val="left"/>
      <w:pPr>
        <w:ind w:left="720" w:hanging="360"/>
      </w:pPr>
      <w:rPr>
        <w:rFonts w:ascii="Arial" w:hAnsi="Arial" w:hint="default"/>
        <w:b/>
        <w:i w:val="0"/>
        <w:sz w:val="24"/>
      </w:rPr>
    </w:lvl>
    <w:lvl w:ilvl="2">
      <w:start w:val="1"/>
      <w:numFmt w:val="decimal"/>
      <w:lvlText w:val="%1.%2.%3."/>
      <w:lvlJc w:val="left"/>
      <w:pPr>
        <w:ind w:left="1080" w:hanging="360"/>
      </w:pPr>
      <w:rPr>
        <w:rFonts w:ascii="Arial" w:hAnsi="Arial" w:hint="default"/>
        <w:b w:val="0"/>
        <w:i w:val="0"/>
        <w:sz w:val="24"/>
      </w:rPr>
    </w:lvl>
    <w:lvl w:ilvl="3">
      <w:start w:val="1"/>
      <w:numFmt w:val="lowerLetter"/>
      <w:lvlText w:val="(%4)"/>
      <w:lvlJc w:val="left"/>
      <w:pPr>
        <w:ind w:left="1440" w:hanging="360"/>
      </w:pPr>
      <w:rPr>
        <w:rFonts w:ascii="Arial" w:hAnsi="Arial" w:hint="default"/>
        <w:b w:val="0"/>
        <w:i w:val="0"/>
        <w:sz w:val="24"/>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ascii="Arial" w:hAnsi="Arial" w:hint="default"/>
        <w:b w:val="0"/>
        <w:i w:val="0"/>
        <w:sz w:val="24"/>
      </w:rPr>
    </w:lvl>
    <w:lvl w:ilvl="6">
      <w:start w:val="1"/>
      <w:numFmt w:val="upperLetter"/>
      <w:lvlText w:val="(%7)"/>
      <w:lvlJc w:val="left"/>
      <w:pPr>
        <w:ind w:left="2520" w:hanging="360"/>
      </w:pPr>
      <w:rPr>
        <w:rFonts w:ascii="Arial" w:hAnsi="Arial" w:hint="default"/>
        <w:b w:val="0"/>
        <w:i w:val="0"/>
        <w:sz w:val="24"/>
      </w:rPr>
    </w:lvl>
    <w:lvl w:ilvl="7">
      <w:start w:val="1"/>
      <w:numFmt w:val="upperRoman"/>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2">
    <w:nsid w:val="0FBD75E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B012A9"/>
    <w:multiLevelType w:val="multilevel"/>
    <w:tmpl w:val="EF54ECB6"/>
    <w:numStyleLink w:val="NumberedHeadingsforPolicy"/>
  </w:abstractNum>
  <w:abstractNum w:abstractNumId="4">
    <w:nsid w:val="46CA685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8CA2DB1"/>
    <w:multiLevelType w:val="hybridMultilevel"/>
    <w:tmpl w:val="34D4F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5D8A3348"/>
    <w:multiLevelType w:val="hybridMultilevel"/>
    <w:tmpl w:val="F76464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5B10762"/>
    <w:multiLevelType w:val="multilevel"/>
    <w:tmpl w:val="EF54ECB6"/>
    <w:numStyleLink w:val="NumberedHeadingsforPolicy"/>
  </w:abstractNum>
  <w:num w:numId="1">
    <w:abstractNumId w:val="4"/>
  </w:num>
  <w:num w:numId="2">
    <w:abstractNumId w:val="2"/>
  </w:num>
  <w:num w:numId="3">
    <w:abstractNumId w:val="1"/>
    <w:lvlOverride w:ilvl="0">
      <w:lvl w:ilvl="0">
        <w:start w:val="1"/>
        <w:numFmt w:val="decimal"/>
        <w:lvlText w:val="%1.0"/>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5"/>
  </w:num>
  <w:num w:numId="5">
    <w:abstractNumId w:val="6"/>
  </w:num>
  <w:num w:numId="6">
    <w:abstractNumId w:val="1"/>
  </w:num>
  <w:num w:numId="7">
    <w:abstractNumId w:val="1"/>
  </w:num>
  <w:num w:numId="8">
    <w:abstractNumId w:val="1"/>
  </w:num>
  <w:num w:numId="9">
    <w:abstractNumId w:val="1"/>
  </w:num>
  <w:num w:numId="10">
    <w:abstractNumId w:val="7"/>
  </w:num>
  <w:num w:numId="11">
    <w:abstractNumId w:val="3"/>
  </w:num>
  <w:num w:numId="12">
    <w:abstractNumId w:val="6"/>
  </w:num>
  <w:num w:numId="13">
    <w:abstractNumId w:val="1"/>
    <w:lvlOverride w:ilvl="2">
      <w:lvl w:ilvl="2">
        <w:start w:val="1"/>
        <w:numFmt w:val="decimal"/>
        <w:lvlText w:val="%1.%2.%3."/>
        <w:lvlJc w:val="left"/>
        <w:pPr>
          <w:ind w:left="1080" w:hanging="360"/>
        </w:pPr>
        <w:rPr>
          <w:rFonts w:ascii="Arial" w:hAnsi="Arial" w:hint="default"/>
          <w:b w:val="0"/>
          <w:i w:val="0"/>
          <w:sz w:val="24"/>
        </w:rPr>
      </w:lvl>
    </w:lvlOverride>
  </w:num>
  <w:num w:numId="14">
    <w:abstractNumId w:val="1"/>
    <w:lvlOverride w:ilvl="2">
      <w:lvl w:ilvl="2">
        <w:start w:val="1"/>
        <w:numFmt w:val="decimal"/>
        <w:lvlText w:val="%1.%2.%3."/>
        <w:lvlJc w:val="left"/>
        <w:pPr>
          <w:ind w:left="1080" w:hanging="360"/>
        </w:pPr>
        <w:rPr>
          <w:rFonts w:ascii="Arial" w:hAnsi="Arial" w:hint="default"/>
          <w:b w:val="0"/>
          <w:i w:val="0"/>
          <w:sz w:val="24"/>
        </w:rPr>
      </w:lvl>
    </w:lvlOverride>
  </w:num>
  <w:num w:numId="15">
    <w:abstractNumId w:val="1"/>
    <w:lvlOverride w:ilvl="2">
      <w:lvl w:ilvl="2">
        <w:start w:val="1"/>
        <w:numFmt w:val="decimal"/>
        <w:lvlText w:val="%1.%2.%3."/>
        <w:lvlJc w:val="left"/>
        <w:pPr>
          <w:ind w:left="1080" w:hanging="360"/>
        </w:pPr>
        <w:rPr>
          <w:rFonts w:ascii="Arial" w:hAnsi="Arial" w:hint="default"/>
          <w:b w:val="0"/>
          <w:i w:val="0"/>
          <w:sz w:val="24"/>
        </w:rPr>
      </w:lvl>
    </w:lvlOverride>
  </w:num>
  <w:num w:numId="16">
    <w:abstractNumId w:val="1"/>
    <w:lvlOverride w:ilvl="2">
      <w:lvl w:ilvl="2">
        <w:start w:val="1"/>
        <w:numFmt w:val="decimal"/>
        <w:lvlText w:val="%1.%2.%3."/>
        <w:lvlJc w:val="left"/>
        <w:pPr>
          <w:ind w:left="1080" w:hanging="360"/>
        </w:pPr>
        <w:rPr>
          <w:rFonts w:ascii="Arial" w:hAnsi="Arial" w:hint="default"/>
          <w:b w:val="0"/>
          <w:i w:val="0"/>
          <w:sz w:val="24"/>
        </w:rPr>
      </w:lvl>
    </w:lvlOverride>
  </w:num>
  <w:num w:numId="17">
    <w:abstractNumId w:val="1"/>
    <w:lvlOverride w:ilvl="2">
      <w:lvl w:ilvl="2">
        <w:start w:val="1"/>
        <w:numFmt w:val="decimal"/>
        <w:lvlText w:val="%1.%2.%3."/>
        <w:lvlJc w:val="left"/>
        <w:pPr>
          <w:ind w:left="1080" w:hanging="360"/>
        </w:pPr>
        <w:rPr>
          <w:rFonts w:ascii="Arial" w:hAnsi="Arial" w:hint="default"/>
          <w:b w:val="0"/>
          <w:i w:val="0"/>
          <w:sz w:val="24"/>
        </w:rPr>
      </w:lvl>
    </w:lvlOverride>
  </w:num>
  <w:num w:numId="18">
    <w:abstractNumId w:val="1"/>
    <w:lvlOverride w:ilvl="2">
      <w:lvl w:ilvl="2">
        <w:start w:val="1"/>
        <w:numFmt w:val="decimal"/>
        <w:lvlText w:val="%1.%2.%3."/>
        <w:lvlJc w:val="left"/>
        <w:pPr>
          <w:ind w:left="1080" w:hanging="360"/>
        </w:pPr>
        <w:rPr>
          <w:rFonts w:ascii="Arial" w:hAnsi="Arial" w:hint="default"/>
          <w:b w:val="0"/>
          <w:i w:val="0"/>
          <w:sz w:val="24"/>
        </w:rPr>
      </w:lvl>
    </w:lvlOverride>
  </w:num>
  <w:num w:numId="19">
    <w:abstractNumId w:val="1"/>
    <w:lvlOverride w:ilvl="2">
      <w:lvl w:ilvl="2">
        <w:start w:val="1"/>
        <w:numFmt w:val="decimal"/>
        <w:lvlText w:val="%1.%2.%3."/>
        <w:lvlJc w:val="left"/>
        <w:pPr>
          <w:ind w:left="1080" w:hanging="360"/>
        </w:pPr>
        <w:rPr>
          <w:rFonts w:ascii="Arial" w:hAnsi="Arial" w:hint="default"/>
          <w:b w:val="0"/>
          <w:i w:val="0"/>
          <w:sz w:val="24"/>
        </w:rPr>
      </w:lvl>
    </w:lvlOverride>
  </w:num>
  <w:num w:numId="20">
    <w:abstractNumId w:val="1"/>
    <w:lvlOverride w:ilvl="2">
      <w:lvl w:ilvl="2">
        <w:start w:val="1"/>
        <w:numFmt w:val="decimal"/>
        <w:lvlText w:val="%1.%2.%3."/>
        <w:lvlJc w:val="left"/>
        <w:pPr>
          <w:ind w:left="1080" w:hanging="360"/>
        </w:pPr>
        <w:rPr>
          <w:rFonts w:ascii="Arial" w:hAnsi="Arial" w:hint="default"/>
          <w:b w:val="0"/>
          <w:i w:val="0"/>
          <w:sz w:val="24"/>
        </w:rPr>
      </w:lvl>
    </w:lvlOverride>
  </w:num>
  <w:num w:numId="21">
    <w:abstractNumId w:val="1"/>
    <w:lvlOverride w:ilvl="2">
      <w:lvl w:ilvl="2">
        <w:start w:val="1"/>
        <w:numFmt w:val="decimal"/>
        <w:lvlText w:val="%1.%2.%3."/>
        <w:lvlJc w:val="left"/>
        <w:pPr>
          <w:ind w:left="1080" w:hanging="360"/>
        </w:pPr>
        <w:rPr>
          <w:rFonts w:ascii="Arial" w:hAnsi="Arial" w:hint="default"/>
          <w:b w:val="0"/>
          <w:i w:val="0"/>
          <w:sz w:val="24"/>
        </w:rPr>
      </w:lvl>
    </w:lvlOverride>
  </w:num>
  <w:num w:numId="22">
    <w:abstractNumId w:val="1"/>
    <w:lvlOverride w:ilvl="2">
      <w:lvl w:ilvl="2">
        <w:start w:val="1"/>
        <w:numFmt w:val="decimal"/>
        <w:lvlText w:val="%1.%2.%3."/>
        <w:lvlJc w:val="left"/>
        <w:pPr>
          <w:ind w:left="1080" w:hanging="360"/>
        </w:pPr>
        <w:rPr>
          <w:rFonts w:ascii="Arial" w:hAnsi="Arial" w:hint="default"/>
          <w:b w:val="0"/>
          <w:i w:val="0"/>
          <w:sz w:val="24"/>
        </w:rPr>
      </w:lvl>
    </w:lvlOverride>
  </w:num>
  <w:num w:numId="23">
    <w:abstractNumId w:val="1"/>
    <w:lvlOverride w:ilvl="2">
      <w:lvl w:ilvl="2">
        <w:start w:val="1"/>
        <w:numFmt w:val="decimal"/>
        <w:lvlText w:val="%1.%2.%3."/>
        <w:lvlJc w:val="left"/>
        <w:pPr>
          <w:ind w:left="1080" w:hanging="360"/>
        </w:pPr>
        <w:rPr>
          <w:rFonts w:ascii="Arial" w:hAnsi="Arial" w:hint="default"/>
          <w:b w:val="0"/>
          <w:i w:val="0"/>
          <w:sz w:val="24"/>
        </w:rPr>
      </w:lvl>
    </w:lvlOverride>
  </w:num>
  <w:num w:numId="24">
    <w:abstractNumId w:val="1"/>
    <w:lvlOverride w:ilvl="2">
      <w:lvl w:ilvl="2">
        <w:start w:val="1"/>
        <w:numFmt w:val="decimal"/>
        <w:lvlText w:val="%1.%2.%3."/>
        <w:lvlJc w:val="left"/>
        <w:pPr>
          <w:ind w:left="1080" w:hanging="360"/>
        </w:pPr>
        <w:rPr>
          <w:rFonts w:ascii="Arial" w:hAnsi="Arial" w:hint="default"/>
          <w:b w:val="0"/>
          <w:i w:val="0"/>
          <w:sz w:val="24"/>
        </w:rPr>
      </w:lvl>
    </w:lvlOverride>
  </w:num>
  <w:num w:numId="25">
    <w:abstractNumId w:val="1"/>
    <w:lvlOverride w:ilvl="2">
      <w:lvl w:ilvl="2">
        <w:start w:val="1"/>
        <w:numFmt w:val="decimal"/>
        <w:lvlText w:val="%1.%2.%3."/>
        <w:lvlJc w:val="left"/>
        <w:pPr>
          <w:ind w:left="1080" w:hanging="360"/>
        </w:pPr>
        <w:rPr>
          <w:rFonts w:ascii="Arial" w:hAnsi="Arial" w:hint="default"/>
          <w:b w:val="0"/>
          <w:i w:val="0"/>
          <w:sz w:val="24"/>
        </w:rPr>
      </w:lvl>
    </w:lvlOverride>
  </w:num>
  <w:num w:numId="26">
    <w:abstractNumId w:val="1"/>
    <w:lvlOverride w:ilvl="2">
      <w:lvl w:ilvl="2">
        <w:start w:val="1"/>
        <w:numFmt w:val="decimal"/>
        <w:lvlText w:val="%1.%2.%3."/>
        <w:lvlJc w:val="left"/>
        <w:pPr>
          <w:ind w:left="1080" w:hanging="360"/>
        </w:pPr>
        <w:rPr>
          <w:rFonts w:ascii="Arial" w:hAnsi="Arial" w:hint="default"/>
          <w:b w:val="0"/>
          <w:i w:val="0"/>
          <w:sz w:val="24"/>
        </w:rPr>
      </w:lvl>
    </w:lvlOverride>
  </w:num>
  <w:num w:numId="27">
    <w:abstractNumId w:val="1"/>
    <w:lvlOverride w:ilvl="2">
      <w:lvl w:ilvl="2">
        <w:start w:val="1"/>
        <w:numFmt w:val="decimal"/>
        <w:lvlText w:val="%1.%2.%3."/>
        <w:lvlJc w:val="left"/>
        <w:pPr>
          <w:ind w:left="1080" w:hanging="360"/>
        </w:pPr>
        <w:rPr>
          <w:rFonts w:ascii="Arial" w:hAnsi="Arial" w:hint="default"/>
          <w:b w:val="0"/>
          <w:i w:val="0"/>
          <w:sz w:val="24"/>
        </w:rPr>
      </w:lvl>
    </w:lvlOverride>
  </w:num>
  <w:num w:numId="28">
    <w:abstractNumId w:val="1"/>
    <w:lvlOverride w:ilvl="2">
      <w:lvl w:ilvl="2">
        <w:start w:val="1"/>
        <w:numFmt w:val="decimal"/>
        <w:lvlText w:val="%1.%2.%3."/>
        <w:lvlJc w:val="left"/>
        <w:pPr>
          <w:ind w:left="1080" w:hanging="360"/>
        </w:pPr>
        <w:rPr>
          <w:rFonts w:ascii="Arial" w:hAnsi="Arial" w:hint="default"/>
          <w:b w:val="0"/>
          <w:i w:val="0"/>
          <w:sz w:val="24"/>
        </w:rPr>
      </w:lvl>
    </w:lvlOverride>
  </w:num>
  <w:num w:numId="29">
    <w:abstractNumId w:val="1"/>
    <w:lvlOverride w:ilvl="2">
      <w:lvl w:ilvl="2">
        <w:start w:val="1"/>
        <w:numFmt w:val="decimal"/>
        <w:lvlText w:val="%1.%2.%3."/>
        <w:lvlJc w:val="left"/>
        <w:pPr>
          <w:ind w:left="1080" w:hanging="360"/>
        </w:pPr>
        <w:rPr>
          <w:rFonts w:ascii="Arial" w:hAnsi="Arial" w:hint="default"/>
          <w:b w:val="0"/>
          <w:i w:val="0"/>
          <w:sz w:val="24"/>
        </w:rPr>
      </w:lvl>
    </w:lvlOverride>
  </w:num>
  <w:num w:numId="30">
    <w:abstractNumId w:val="1"/>
    <w:lvlOverride w:ilvl="2">
      <w:lvl w:ilvl="2">
        <w:start w:val="1"/>
        <w:numFmt w:val="decimal"/>
        <w:lvlText w:val="%1.%2.%3."/>
        <w:lvlJc w:val="left"/>
        <w:pPr>
          <w:ind w:left="1080" w:hanging="360"/>
        </w:pPr>
        <w:rPr>
          <w:rFonts w:ascii="Arial" w:hAnsi="Arial" w:hint="default"/>
          <w:b w:val="0"/>
          <w:i w:val="0"/>
          <w:sz w:val="24"/>
        </w:rPr>
      </w:lvl>
    </w:lvlOverride>
  </w:num>
  <w:num w:numId="31">
    <w:abstractNumId w:val="1"/>
    <w:lvlOverride w:ilvl="2">
      <w:lvl w:ilvl="2">
        <w:start w:val="1"/>
        <w:numFmt w:val="decimal"/>
        <w:lvlText w:val="%1.%2.%3."/>
        <w:lvlJc w:val="left"/>
        <w:pPr>
          <w:ind w:left="1080" w:hanging="360"/>
        </w:pPr>
        <w:rPr>
          <w:rFonts w:ascii="Arial" w:hAnsi="Arial" w:hint="default"/>
          <w:b w:val="0"/>
          <w:i w:val="0"/>
          <w:sz w:val="24"/>
        </w:rPr>
      </w:lvl>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characterSpacingControl w:val="doNotCompress"/>
  <w:hdrShapeDefaults>
    <o:shapedefaults v:ext="edit" spidmax="8194"/>
    <o:shapelayout v:ext="edit">
      <o:idmap v:ext="edit" data="8"/>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E7"/>
    <w:rsid w:val="0000650B"/>
    <w:rsid w:val="00010890"/>
    <w:rsid w:val="000831AF"/>
    <w:rsid w:val="000B1249"/>
    <w:rsid w:val="001017D7"/>
    <w:rsid w:val="001128A2"/>
    <w:rsid w:val="00124787"/>
    <w:rsid w:val="00131B58"/>
    <w:rsid w:val="00136985"/>
    <w:rsid w:val="00151F42"/>
    <w:rsid w:val="00173094"/>
    <w:rsid w:val="001A7867"/>
    <w:rsid w:val="001B48EE"/>
    <w:rsid w:val="00211CAE"/>
    <w:rsid w:val="00232387"/>
    <w:rsid w:val="00242EAC"/>
    <w:rsid w:val="00261539"/>
    <w:rsid w:val="0028697F"/>
    <w:rsid w:val="002935FB"/>
    <w:rsid w:val="002D071F"/>
    <w:rsid w:val="002F2C5B"/>
    <w:rsid w:val="003579E6"/>
    <w:rsid w:val="003735A6"/>
    <w:rsid w:val="003F2877"/>
    <w:rsid w:val="00452268"/>
    <w:rsid w:val="004762C5"/>
    <w:rsid w:val="004E2CA8"/>
    <w:rsid w:val="00551946"/>
    <w:rsid w:val="00561DCE"/>
    <w:rsid w:val="0058630C"/>
    <w:rsid w:val="005D3ED3"/>
    <w:rsid w:val="005E02D7"/>
    <w:rsid w:val="005F7D81"/>
    <w:rsid w:val="00670385"/>
    <w:rsid w:val="00670E0E"/>
    <w:rsid w:val="00680319"/>
    <w:rsid w:val="006A16B7"/>
    <w:rsid w:val="006E3DA1"/>
    <w:rsid w:val="007345F7"/>
    <w:rsid w:val="007506EE"/>
    <w:rsid w:val="007B0BF7"/>
    <w:rsid w:val="00815775"/>
    <w:rsid w:val="00832A1C"/>
    <w:rsid w:val="00845A9F"/>
    <w:rsid w:val="00875C1A"/>
    <w:rsid w:val="008916B4"/>
    <w:rsid w:val="009063B8"/>
    <w:rsid w:val="00910AE9"/>
    <w:rsid w:val="009254C8"/>
    <w:rsid w:val="00960C0D"/>
    <w:rsid w:val="00965B26"/>
    <w:rsid w:val="00967C31"/>
    <w:rsid w:val="00A912A3"/>
    <w:rsid w:val="00B06416"/>
    <w:rsid w:val="00B064E7"/>
    <w:rsid w:val="00B16778"/>
    <w:rsid w:val="00B4139F"/>
    <w:rsid w:val="00B93727"/>
    <w:rsid w:val="00C00432"/>
    <w:rsid w:val="00C2222D"/>
    <w:rsid w:val="00C3016A"/>
    <w:rsid w:val="00C40032"/>
    <w:rsid w:val="00C7068E"/>
    <w:rsid w:val="00C7086C"/>
    <w:rsid w:val="00C8210C"/>
    <w:rsid w:val="00D51E2A"/>
    <w:rsid w:val="00D74AEE"/>
    <w:rsid w:val="00D84F89"/>
    <w:rsid w:val="00DA05F4"/>
    <w:rsid w:val="00DE4CE0"/>
    <w:rsid w:val="00E4388B"/>
    <w:rsid w:val="00E46E5D"/>
    <w:rsid w:val="00E47E44"/>
    <w:rsid w:val="00E5408E"/>
    <w:rsid w:val="00E94999"/>
    <w:rsid w:val="00EF31B8"/>
    <w:rsid w:val="00F30F65"/>
    <w:rsid w:val="00F436C4"/>
    <w:rsid w:val="00FA3828"/>
    <w:rsid w:val="00FB4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5D"/>
    <w:pPr>
      <w:spacing w:line="240" w:lineRule="auto"/>
      <w:ind w:left="540"/>
    </w:pPr>
    <w:rPr>
      <w:rFonts w:ascii="Arial" w:hAnsi="Arial"/>
      <w:szCs w:val="22"/>
    </w:rPr>
  </w:style>
  <w:style w:type="paragraph" w:styleId="Heading1">
    <w:name w:val="heading 1"/>
    <w:basedOn w:val="Normal"/>
    <w:next w:val="Normal"/>
    <w:link w:val="Heading1Char"/>
    <w:uiPriority w:val="9"/>
    <w:qFormat/>
    <w:rsid w:val="00E46E5D"/>
    <w:pPr>
      <w:keepNext/>
      <w:keepLines/>
      <w:suppressAutoHyphens/>
      <w:spacing w:before="240" w:after="240"/>
      <w:ind w:left="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E46E5D"/>
    <w:pPr>
      <w:keepNext/>
      <w:keepLines/>
      <w:suppressAutoHyphens/>
      <w:spacing w:before="120" w:after="120"/>
      <w:ind w:left="0"/>
      <w:outlineLvl w:val="1"/>
    </w:pPr>
    <w:rPr>
      <w:rFonts w:eastAsiaTheme="majorEastAsia" w:cstheme="majorBidi"/>
      <w:b/>
      <w:bCs/>
      <w:szCs w:val="26"/>
    </w:rPr>
  </w:style>
  <w:style w:type="paragraph" w:styleId="Heading3">
    <w:name w:val="heading 3"/>
    <w:basedOn w:val="Normal"/>
    <w:next w:val="Normal"/>
    <w:link w:val="Heading3Char"/>
    <w:uiPriority w:val="9"/>
    <w:qFormat/>
    <w:rsid w:val="00E46E5D"/>
    <w:pPr>
      <w:keepNext/>
      <w:keepLines/>
      <w:suppressAutoHyphens/>
      <w:spacing w:before="120" w:after="120"/>
      <w:ind w:left="0"/>
      <w:outlineLvl w:val="2"/>
    </w:pPr>
    <w:rPr>
      <w:rFonts w:eastAsiaTheme="majorEastAsia" w:cstheme="majorBidi"/>
      <w:bCs/>
      <w:szCs w:val="24"/>
    </w:rPr>
  </w:style>
  <w:style w:type="paragraph" w:styleId="Heading4">
    <w:name w:val="heading 4"/>
    <w:basedOn w:val="Normal"/>
    <w:next w:val="Normal"/>
    <w:link w:val="Heading4Char"/>
    <w:uiPriority w:val="9"/>
    <w:qFormat/>
    <w:rsid w:val="00E5408E"/>
    <w:pPr>
      <w:keepNext/>
      <w:keepLines/>
      <w:suppressAutoHyphens/>
      <w:spacing w:before="120" w:after="120"/>
      <w:ind w:left="0"/>
      <w:outlineLvl w:val="3"/>
    </w:pPr>
    <w:rPr>
      <w:rFonts w:eastAsiaTheme="majorEastAsia" w:cstheme="majorBidi"/>
      <w:bCs/>
      <w:iCs/>
    </w:rPr>
  </w:style>
  <w:style w:type="paragraph" w:styleId="Heading5">
    <w:name w:val="heading 5"/>
    <w:basedOn w:val="Normal"/>
    <w:next w:val="Normal"/>
    <w:link w:val="Heading5Char"/>
    <w:uiPriority w:val="9"/>
    <w:qFormat/>
    <w:rsid w:val="00E5408E"/>
    <w:pPr>
      <w:keepNext/>
      <w:keepLines/>
      <w:suppressAutoHyphens/>
      <w:ind w:left="0"/>
      <w:outlineLvl w:val="4"/>
    </w:pPr>
    <w:rPr>
      <w:rFonts w:eastAsiaTheme="majorEastAsia" w:cstheme="majorBidi"/>
    </w:rPr>
  </w:style>
  <w:style w:type="paragraph" w:styleId="Heading6">
    <w:name w:val="heading 6"/>
    <w:basedOn w:val="Normal"/>
    <w:next w:val="Normal"/>
    <w:link w:val="Heading6Char"/>
    <w:uiPriority w:val="9"/>
    <w:qFormat/>
    <w:rsid w:val="00E5408E"/>
    <w:pPr>
      <w:keepNext/>
      <w:keepLines/>
      <w:spacing w:before="120" w:after="120"/>
      <w:ind w:left="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spacing w:before="120" w:after="120"/>
      <w:ind w:left="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spacing w:before="120" w:after="120"/>
      <w:ind w:left="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E46E5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46E5D"/>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character" w:styleId="CommentReference">
    <w:name w:val="annotation reference"/>
    <w:basedOn w:val="DefaultParagraphFont"/>
    <w:uiPriority w:val="99"/>
    <w:semiHidden/>
    <w:unhideWhenUsed/>
    <w:rsid w:val="00561DCE"/>
    <w:rPr>
      <w:sz w:val="16"/>
      <w:szCs w:val="16"/>
    </w:rPr>
  </w:style>
  <w:style w:type="paragraph" w:styleId="CommentText">
    <w:name w:val="annotation text"/>
    <w:basedOn w:val="Normal"/>
    <w:link w:val="CommentTextChar"/>
    <w:uiPriority w:val="99"/>
    <w:semiHidden/>
    <w:unhideWhenUsed/>
    <w:rsid w:val="00561DCE"/>
    <w:pPr>
      <w:widowControl w:val="0"/>
      <w:spacing w:after="200"/>
      <w:ind w:left="0"/>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561DCE"/>
    <w:rPr>
      <w:rFonts w:asciiTheme="minorHAnsi" w:hAnsiTheme="minorHAnsi"/>
      <w:sz w:val="20"/>
      <w:szCs w:val="20"/>
      <w:lang w:val="en-US"/>
    </w:rPr>
  </w:style>
  <w:style w:type="paragraph" w:styleId="BalloonText">
    <w:name w:val="Balloon Text"/>
    <w:basedOn w:val="Normal"/>
    <w:link w:val="BalloonTextChar"/>
    <w:uiPriority w:val="99"/>
    <w:semiHidden/>
    <w:unhideWhenUsed/>
    <w:rsid w:val="00561DCE"/>
    <w:rPr>
      <w:rFonts w:ascii="Tahoma" w:hAnsi="Tahoma" w:cs="Tahoma"/>
      <w:sz w:val="16"/>
      <w:szCs w:val="16"/>
    </w:rPr>
  </w:style>
  <w:style w:type="character" w:customStyle="1" w:styleId="BalloonTextChar">
    <w:name w:val="Balloon Text Char"/>
    <w:basedOn w:val="DefaultParagraphFont"/>
    <w:link w:val="BalloonText"/>
    <w:uiPriority w:val="99"/>
    <w:semiHidden/>
    <w:rsid w:val="00561DCE"/>
    <w:rPr>
      <w:rFonts w:ascii="Tahoma" w:hAnsi="Tahoma" w:cs="Tahoma"/>
      <w:sz w:val="16"/>
      <w:szCs w:val="16"/>
    </w:rPr>
  </w:style>
  <w:style w:type="paragraph" w:customStyle="1" w:styleId="BB">
    <w:name w:val="BB"/>
    <w:basedOn w:val="Normal"/>
    <w:rsid w:val="00F436C4"/>
    <w:pPr>
      <w:spacing w:after="240"/>
      <w:ind w:left="0"/>
    </w:pPr>
    <w:rPr>
      <w:rFonts w:ascii="Times New Roman" w:eastAsia="Times New Roman" w:hAnsi="Times New Roman" w:cs="Times New Roman"/>
      <w:szCs w:val="20"/>
      <w:lang w:val="en-US" w:eastAsia="en-CA"/>
    </w:rPr>
  </w:style>
  <w:style w:type="paragraph" w:styleId="CommentSubject">
    <w:name w:val="annotation subject"/>
    <w:basedOn w:val="CommentText"/>
    <w:next w:val="CommentText"/>
    <w:link w:val="CommentSubjectChar"/>
    <w:uiPriority w:val="99"/>
    <w:semiHidden/>
    <w:unhideWhenUsed/>
    <w:rsid w:val="00C8210C"/>
    <w:pPr>
      <w:widowControl/>
      <w:spacing w:after="0"/>
      <w:ind w:left="540"/>
    </w:pPr>
    <w:rPr>
      <w:rFonts w:ascii="Arial" w:hAnsi="Arial"/>
      <w:b/>
      <w:bCs/>
      <w:lang w:val="en-CA"/>
    </w:rPr>
  </w:style>
  <w:style w:type="character" w:customStyle="1" w:styleId="CommentSubjectChar">
    <w:name w:val="Comment Subject Char"/>
    <w:basedOn w:val="CommentTextChar"/>
    <w:link w:val="CommentSubject"/>
    <w:uiPriority w:val="99"/>
    <w:semiHidden/>
    <w:rsid w:val="00C8210C"/>
    <w:rPr>
      <w:rFonts w:ascii="Arial" w:hAnsi="Arial"/>
      <w:b/>
      <w:bCs/>
      <w:sz w:val="20"/>
      <w:szCs w:val="20"/>
      <w:lang w:val="en-US"/>
    </w:rPr>
  </w:style>
  <w:style w:type="paragraph" w:styleId="BodyText">
    <w:name w:val="Body Text"/>
    <w:basedOn w:val="Normal"/>
    <w:link w:val="BodyTextChar"/>
    <w:uiPriority w:val="1"/>
    <w:qFormat/>
    <w:rsid w:val="008916B4"/>
    <w:pPr>
      <w:numPr>
        <w:ilvl w:val="1"/>
        <w:numId w:val="32"/>
      </w:numPr>
      <w:jc w:val="both"/>
    </w:pPr>
    <w:rPr>
      <w:rFonts w:ascii="Times New Roman" w:eastAsia="Times New Roman" w:hAnsi="Times New Roman" w:cs="Times New Roman"/>
      <w:color w:val="000000" w:themeColor="text1"/>
      <w:szCs w:val="20"/>
      <w:lang w:eastAsia="en-CA"/>
    </w:rPr>
  </w:style>
  <w:style w:type="character" w:customStyle="1" w:styleId="BodyTextChar">
    <w:name w:val="Body Text Char"/>
    <w:basedOn w:val="DefaultParagraphFont"/>
    <w:link w:val="BodyText"/>
    <w:uiPriority w:val="1"/>
    <w:rsid w:val="008916B4"/>
    <w:rPr>
      <w:rFonts w:eastAsia="Times New Roman" w:cs="Times New Roman"/>
      <w:color w:val="000000" w:themeColor="text1"/>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5D"/>
    <w:pPr>
      <w:spacing w:line="240" w:lineRule="auto"/>
      <w:ind w:left="540"/>
    </w:pPr>
    <w:rPr>
      <w:rFonts w:ascii="Arial" w:hAnsi="Arial"/>
      <w:szCs w:val="22"/>
    </w:rPr>
  </w:style>
  <w:style w:type="paragraph" w:styleId="Heading1">
    <w:name w:val="heading 1"/>
    <w:basedOn w:val="Normal"/>
    <w:next w:val="Normal"/>
    <w:link w:val="Heading1Char"/>
    <w:uiPriority w:val="9"/>
    <w:qFormat/>
    <w:rsid w:val="00E46E5D"/>
    <w:pPr>
      <w:keepNext/>
      <w:keepLines/>
      <w:suppressAutoHyphens/>
      <w:spacing w:before="240" w:after="240"/>
      <w:ind w:left="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E46E5D"/>
    <w:pPr>
      <w:keepNext/>
      <w:keepLines/>
      <w:suppressAutoHyphens/>
      <w:spacing w:before="120" w:after="120"/>
      <w:ind w:left="0"/>
      <w:outlineLvl w:val="1"/>
    </w:pPr>
    <w:rPr>
      <w:rFonts w:eastAsiaTheme="majorEastAsia" w:cstheme="majorBidi"/>
      <w:b/>
      <w:bCs/>
      <w:szCs w:val="26"/>
    </w:rPr>
  </w:style>
  <w:style w:type="paragraph" w:styleId="Heading3">
    <w:name w:val="heading 3"/>
    <w:basedOn w:val="Normal"/>
    <w:next w:val="Normal"/>
    <w:link w:val="Heading3Char"/>
    <w:uiPriority w:val="9"/>
    <w:qFormat/>
    <w:rsid w:val="00E46E5D"/>
    <w:pPr>
      <w:keepNext/>
      <w:keepLines/>
      <w:suppressAutoHyphens/>
      <w:spacing w:before="120" w:after="120"/>
      <w:ind w:left="0"/>
      <w:outlineLvl w:val="2"/>
    </w:pPr>
    <w:rPr>
      <w:rFonts w:eastAsiaTheme="majorEastAsia" w:cstheme="majorBidi"/>
      <w:bCs/>
      <w:szCs w:val="24"/>
    </w:rPr>
  </w:style>
  <w:style w:type="paragraph" w:styleId="Heading4">
    <w:name w:val="heading 4"/>
    <w:basedOn w:val="Normal"/>
    <w:next w:val="Normal"/>
    <w:link w:val="Heading4Char"/>
    <w:uiPriority w:val="9"/>
    <w:qFormat/>
    <w:rsid w:val="00E5408E"/>
    <w:pPr>
      <w:keepNext/>
      <w:keepLines/>
      <w:suppressAutoHyphens/>
      <w:spacing w:before="120" w:after="120"/>
      <w:ind w:left="0"/>
      <w:outlineLvl w:val="3"/>
    </w:pPr>
    <w:rPr>
      <w:rFonts w:eastAsiaTheme="majorEastAsia" w:cstheme="majorBidi"/>
      <w:bCs/>
      <w:iCs/>
    </w:rPr>
  </w:style>
  <w:style w:type="paragraph" w:styleId="Heading5">
    <w:name w:val="heading 5"/>
    <w:basedOn w:val="Normal"/>
    <w:next w:val="Normal"/>
    <w:link w:val="Heading5Char"/>
    <w:uiPriority w:val="9"/>
    <w:qFormat/>
    <w:rsid w:val="00E5408E"/>
    <w:pPr>
      <w:keepNext/>
      <w:keepLines/>
      <w:suppressAutoHyphens/>
      <w:ind w:left="0"/>
      <w:outlineLvl w:val="4"/>
    </w:pPr>
    <w:rPr>
      <w:rFonts w:eastAsiaTheme="majorEastAsia" w:cstheme="majorBidi"/>
    </w:rPr>
  </w:style>
  <w:style w:type="paragraph" w:styleId="Heading6">
    <w:name w:val="heading 6"/>
    <w:basedOn w:val="Normal"/>
    <w:next w:val="Normal"/>
    <w:link w:val="Heading6Char"/>
    <w:uiPriority w:val="9"/>
    <w:qFormat/>
    <w:rsid w:val="00E5408E"/>
    <w:pPr>
      <w:keepNext/>
      <w:keepLines/>
      <w:spacing w:before="120" w:after="120"/>
      <w:ind w:left="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spacing w:before="120" w:after="120"/>
      <w:ind w:left="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spacing w:before="120" w:after="120"/>
      <w:ind w:left="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E46E5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46E5D"/>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character" w:styleId="CommentReference">
    <w:name w:val="annotation reference"/>
    <w:basedOn w:val="DefaultParagraphFont"/>
    <w:uiPriority w:val="99"/>
    <w:semiHidden/>
    <w:unhideWhenUsed/>
    <w:rsid w:val="00561DCE"/>
    <w:rPr>
      <w:sz w:val="16"/>
      <w:szCs w:val="16"/>
    </w:rPr>
  </w:style>
  <w:style w:type="paragraph" w:styleId="CommentText">
    <w:name w:val="annotation text"/>
    <w:basedOn w:val="Normal"/>
    <w:link w:val="CommentTextChar"/>
    <w:uiPriority w:val="99"/>
    <w:semiHidden/>
    <w:unhideWhenUsed/>
    <w:rsid w:val="00561DCE"/>
    <w:pPr>
      <w:widowControl w:val="0"/>
      <w:spacing w:after="200"/>
      <w:ind w:left="0"/>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561DCE"/>
    <w:rPr>
      <w:rFonts w:asciiTheme="minorHAnsi" w:hAnsiTheme="minorHAnsi"/>
      <w:sz w:val="20"/>
      <w:szCs w:val="20"/>
      <w:lang w:val="en-US"/>
    </w:rPr>
  </w:style>
  <w:style w:type="paragraph" w:styleId="BalloonText">
    <w:name w:val="Balloon Text"/>
    <w:basedOn w:val="Normal"/>
    <w:link w:val="BalloonTextChar"/>
    <w:uiPriority w:val="99"/>
    <w:semiHidden/>
    <w:unhideWhenUsed/>
    <w:rsid w:val="00561DCE"/>
    <w:rPr>
      <w:rFonts w:ascii="Tahoma" w:hAnsi="Tahoma" w:cs="Tahoma"/>
      <w:sz w:val="16"/>
      <w:szCs w:val="16"/>
    </w:rPr>
  </w:style>
  <w:style w:type="character" w:customStyle="1" w:styleId="BalloonTextChar">
    <w:name w:val="Balloon Text Char"/>
    <w:basedOn w:val="DefaultParagraphFont"/>
    <w:link w:val="BalloonText"/>
    <w:uiPriority w:val="99"/>
    <w:semiHidden/>
    <w:rsid w:val="00561DCE"/>
    <w:rPr>
      <w:rFonts w:ascii="Tahoma" w:hAnsi="Tahoma" w:cs="Tahoma"/>
      <w:sz w:val="16"/>
      <w:szCs w:val="16"/>
    </w:rPr>
  </w:style>
  <w:style w:type="paragraph" w:customStyle="1" w:styleId="BB">
    <w:name w:val="BB"/>
    <w:basedOn w:val="Normal"/>
    <w:rsid w:val="00F436C4"/>
    <w:pPr>
      <w:spacing w:after="240"/>
      <w:ind w:left="0"/>
    </w:pPr>
    <w:rPr>
      <w:rFonts w:ascii="Times New Roman" w:eastAsia="Times New Roman" w:hAnsi="Times New Roman" w:cs="Times New Roman"/>
      <w:szCs w:val="20"/>
      <w:lang w:val="en-US" w:eastAsia="en-CA"/>
    </w:rPr>
  </w:style>
  <w:style w:type="paragraph" w:styleId="CommentSubject">
    <w:name w:val="annotation subject"/>
    <w:basedOn w:val="CommentText"/>
    <w:next w:val="CommentText"/>
    <w:link w:val="CommentSubjectChar"/>
    <w:uiPriority w:val="99"/>
    <w:semiHidden/>
    <w:unhideWhenUsed/>
    <w:rsid w:val="00C8210C"/>
    <w:pPr>
      <w:widowControl/>
      <w:spacing w:after="0"/>
      <w:ind w:left="540"/>
    </w:pPr>
    <w:rPr>
      <w:rFonts w:ascii="Arial" w:hAnsi="Arial"/>
      <w:b/>
      <w:bCs/>
      <w:lang w:val="en-CA"/>
    </w:rPr>
  </w:style>
  <w:style w:type="character" w:customStyle="1" w:styleId="CommentSubjectChar">
    <w:name w:val="Comment Subject Char"/>
    <w:basedOn w:val="CommentTextChar"/>
    <w:link w:val="CommentSubject"/>
    <w:uiPriority w:val="99"/>
    <w:semiHidden/>
    <w:rsid w:val="00C8210C"/>
    <w:rPr>
      <w:rFonts w:ascii="Arial" w:hAnsi="Arial"/>
      <w:b/>
      <w:bCs/>
      <w:sz w:val="20"/>
      <w:szCs w:val="20"/>
      <w:lang w:val="en-US"/>
    </w:rPr>
  </w:style>
  <w:style w:type="paragraph" w:styleId="BodyText">
    <w:name w:val="Body Text"/>
    <w:basedOn w:val="Normal"/>
    <w:link w:val="BodyTextChar"/>
    <w:uiPriority w:val="1"/>
    <w:qFormat/>
    <w:rsid w:val="008916B4"/>
    <w:pPr>
      <w:numPr>
        <w:ilvl w:val="1"/>
        <w:numId w:val="32"/>
      </w:numPr>
      <w:jc w:val="both"/>
    </w:pPr>
    <w:rPr>
      <w:rFonts w:ascii="Times New Roman" w:eastAsia="Times New Roman" w:hAnsi="Times New Roman" w:cs="Times New Roman"/>
      <w:color w:val="000000" w:themeColor="text1"/>
      <w:szCs w:val="20"/>
      <w:lang w:eastAsia="en-CA"/>
    </w:rPr>
  </w:style>
  <w:style w:type="character" w:customStyle="1" w:styleId="BodyTextChar">
    <w:name w:val="Body Text Char"/>
    <w:basedOn w:val="DefaultParagraphFont"/>
    <w:link w:val="BodyText"/>
    <w:uiPriority w:val="1"/>
    <w:rsid w:val="008916B4"/>
    <w:rPr>
      <w:rFonts w:eastAsia="Times New Roman" w:cs="Times New Roman"/>
      <w:color w:val="000000" w:themeColor="text1"/>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4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8217\Desktop\Policy%20Template%20-%20February%2025%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7634-8CC7-4EAD-AD42-9D59827A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 February 25 2019.dotm</Template>
  <TotalTime>165</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Mustafaa</dc:creator>
  <cp:lastModifiedBy>Ron, Mustafaa</cp:lastModifiedBy>
  <cp:revision>6</cp:revision>
  <dcterms:created xsi:type="dcterms:W3CDTF">2019-04-09T14:07:00Z</dcterms:created>
  <dcterms:modified xsi:type="dcterms:W3CDTF">2019-04-09T16:54:00Z</dcterms:modified>
</cp:coreProperties>
</file>